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7EFC" w14:textId="77777777" w:rsidR="00CA10A5" w:rsidRPr="00D751DF" w:rsidRDefault="00A00E5D">
      <w:pPr>
        <w:spacing w:beforeAutospacing="1" w:afterAutospacing="1"/>
        <w:jc w:val="center"/>
        <w:outlineLvl w:val="2"/>
        <w:rPr>
          <w:rFonts w:asciiTheme="minorHAnsi" w:hAnsiTheme="minorHAnsi" w:cstheme="minorHAnsi"/>
          <w:sz w:val="28"/>
          <w:szCs w:val="28"/>
          <w:u w:val="single"/>
        </w:rPr>
      </w:pPr>
      <w:r w:rsidRPr="00D751DF">
        <w:rPr>
          <w:rFonts w:asciiTheme="minorHAnsi" w:hAnsiTheme="minorHAnsi" w:cstheme="minorHAnsi"/>
          <w:b/>
          <w:sz w:val="28"/>
          <w:szCs w:val="28"/>
          <w:u w:val="single"/>
          <w:lang w:eastAsia="ar-SA"/>
        </w:rPr>
        <w:t>TERMO DE REFERÊNCIA</w:t>
      </w:r>
    </w:p>
    <w:p w14:paraId="221A6B41" w14:textId="77777777" w:rsidR="00CA10A5" w:rsidRPr="00D751DF" w:rsidRDefault="00CA10A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91710E" w14:textId="77777777" w:rsidR="00CA10A5" w:rsidRPr="0075271B" w:rsidRDefault="00A00E5D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 w:rsidRPr="0075271B">
        <w:rPr>
          <w:rFonts w:ascii="Arial" w:hAnsi="Arial" w:cs="Arial"/>
          <w:sz w:val="24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68AB1B1F" w14:textId="77777777" w:rsidR="00CA10A5" w:rsidRPr="0075271B" w:rsidRDefault="00A00E5D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 w:cs="Arial"/>
        </w:rPr>
      </w:pPr>
      <w:r w:rsidRPr="0075271B">
        <w:rPr>
          <w:rFonts w:ascii="Arial" w:hAnsi="Arial" w:cs="Arial"/>
          <w:b/>
        </w:rPr>
        <w:t>JUSTIFICATIVA:</w:t>
      </w:r>
    </w:p>
    <w:p w14:paraId="073C69D4" w14:textId="77777777" w:rsidR="00B33F81" w:rsidRPr="0075271B" w:rsidRDefault="00B33F81" w:rsidP="00745019">
      <w:pPr>
        <w:spacing w:line="276" w:lineRule="auto"/>
        <w:ind w:firstLine="567"/>
        <w:jc w:val="both"/>
        <w:rPr>
          <w:rFonts w:ascii="Arial" w:hAnsi="Arial" w:cs="Arial"/>
          <w:sz w:val="24"/>
        </w:rPr>
      </w:pPr>
      <w:r w:rsidRPr="0075271B">
        <w:rPr>
          <w:rFonts w:ascii="Arial" w:hAnsi="Arial" w:cs="Arial"/>
          <w:sz w:val="24"/>
        </w:rPr>
        <w:t>O Município, cumprindo uma das prioridades do governo municipal, através da Secretaria de Saúde, tendo como necessidade o atendimento aos pacientes que necessitam de oxigenoterapia nas Unidades de Saúde do município.</w:t>
      </w:r>
    </w:p>
    <w:p w14:paraId="33B49D45" w14:textId="77777777" w:rsidR="00CA10A5" w:rsidRPr="0075271B" w:rsidRDefault="00A00E5D" w:rsidP="0075271B">
      <w:pPr>
        <w:spacing w:after="120" w:line="276" w:lineRule="auto"/>
        <w:ind w:firstLine="567"/>
        <w:rPr>
          <w:rFonts w:ascii="Arial" w:hAnsi="Arial" w:cs="Arial"/>
          <w:sz w:val="24"/>
          <w:szCs w:val="22"/>
        </w:rPr>
      </w:pPr>
      <w:r w:rsidRPr="0075271B">
        <w:rPr>
          <w:rFonts w:ascii="Arial" w:hAnsi="Arial" w:cs="Arial"/>
          <w:sz w:val="24"/>
          <w:szCs w:val="22"/>
        </w:rPr>
        <w:t>Desta forma, por intermédio da Secretaria Municipal de Saúde, vimos solicitar a contratação do objeto abaixo:</w:t>
      </w:r>
    </w:p>
    <w:p w14:paraId="33021CD6" w14:textId="77777777" w:rsidR="00CA10A5" w:rsidRPr="0075271B" w:rsidRDefault="00A00E5D">
      <w:pPr>
        <w:spacing w:after="120" w:line="276" w:lineRule="auto"/>
        <w:ind w:left="567"/>
        <w:rPr>
          <w:rFonts w:ascii="Arial" w:hAnsi="Arial" w:cs="Arial"/>
          <w:sz w:val="22"/>
          <w:szCs w:val="22"/>
        </w:rPr>
      </w:pPr>
      <w:r w:rsidRPr="0075271B">
        <w:rPr>
          <w:rFonts w:ascii="Arial" w:hAnsi="Arial" w:cs="Arial"/>
          <w:b/>
          <w:sz w:val="22"/>
          <w:szCs w:val="22"/>
        </w:rPr>
        <w:t>2. OBJETO:</w:t>
      </w:r>
    </w:p>
    <w:p w14:paraId="7318FD21" w14:textId="0EA03A3E" w:rsidR="005F3720" w:rsidRDefault="00A00E5D" w:rsidP="00745019">
      <w:pPr>
        <w:spacing w:after="120" w:line="276" w:lineRule="auto"/>
        <w:jc w:val="both"/>
        <w:rPr>
          <w:rFonts w:ascii="Arial" w:hAnsi="Arial"/>
          <w:sz w:val="24"/>
        </w:rPr>
      </w:pPr>
      <w:r w:rsidRPr="00745019">
        <w:rPr>
          <w:rFonts w:ascii="Arial" w:hAnsi="Arial" w:cs="Arial"/>
          <w:b/>
          <w:sz w:val="32"/>
          <w:szCs w:val="22"/>
        </w:rPr>
        <w:tab/>
      </w:r>
      <w:r w:rsidR="007E550D" w:rsidRPr="00745019">
        <w:rPr>
          <w:rFonts w:ascii="Arial" w:hAnsi="Arial"/>
          <w:sz w:val="24"/>
        </w:rPr>
        <w:t xml:space="preserve">Contratação de empresa para locação </w:t>
      </w:r>
      <w:r w:rsidR="00C604D8">
        <w:rPr>
          <w:rFonts w:ascii="Arial" w:hAnsi="Arial"/>
          <w:sz w:val="24"/>
        </w:rPr>
        <w:t xml:space="preserve">mensal </w:t>
      </w:r>
      <w:r w:rsidR="007E550D" w:rsidRPr="00745019">
        <w:rPr>
          <w:rFonts w:ascii="Arial" w:hAnsi="Arial"/>
          <w:sz w:val="24"/>
        </w:rPr>
        <w:t>de equipamento para oxigenoterapia domiciliar para atender à demanda dos processos administrativos de solicitação feito à Secretaria Municipal de Saúde</w:t>
      </w:r>
      <w:r w:rsidR="009F140D">
        <w:rPr>
          <w:rFonts w:ascii="Arial" w:hAnsi="Arial"/>
          <w:sz w:val="24"/>
        </w:rPr>
        <w:t xml:space="preserve"> por </w:t>
      </w:r>
      <w:r w:rsidR="0008390D">
        <w:rPr>
          <w:rFonts w:ascii="Arial" w:hAnsi="Arial"/>
          <w:sz w:val="24"/>
        </w:rPr>
        <w:t>12</w:t>
      </w:r>
      <w:r w:rsidR="009F140D">
        <w:rPr>
          <w:rFonts w:ascii="Arial" w:hAnsi="Arial"/>
          <w:sz w:val="24"/>
        </w:rPr>
        <w:t xml:space="preserve"> meses.</w:t>
      </w:r>
    </w:p>
    <w:p w14:paraId="20B3CE74" w14:textId="77777777" w:rsidR="005F3720" w:rsidRPr="00F7122F" w:rsidRDefault="005F3720" w:rsidP="005F3720">
      <w:pPr>
        <w:spacing w:after="120" w:line="276" w:lineRule="auto"/>
        <w:ind w:left="567"/>
        <w:rPr>
          <w:rFonts w:ascii="Arial" w:hAnsi="Arial" w:cs="Arial"/>
          <w:b/>
          <w:sz w:val="24"/>
          <w:szCs w:val="24"/>
        </w:rPr>
      </w:pPr>
      <w:r w:rsidRPr="00F7122F">
        <w:rPr>
          <w:rFonts w:ascii="Arial" w:hAnsi="Arial" w:cs="Arial"/>
          <w:b/>
          <w:sz w:val="24"/>
          <w:szCs w:val="24"/>
        </w:rPr>
        <w:t>2.1 Critério de Julgamento</w:t>
      </w:r>
    </w:p>
    <w:p w14:paraId="2D040E89" w14:textId="77777777" w:rsidR="005F3720" w:rsidRPr="00B11236" w:rsidRDefault="005F3720" w:rsidP="005F37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Menor valor global.</w:t>
      </w:r>
    </w:p>
    <w:p w14:paraId="0FAE61CF" w14:textId="77777777" w:rsidR="00CA10A5" w:rsidRPr="0075271B" w:rsidRDefault="00A00E5D">
      <w:pPr>
        <w:spacing w:after="120" w:line="276" w:lineRule="auto"/>
        <w:ind w:left="567"/>
        <w:rPr>
          <w:rFonts w:ascii="Arial" w:hAnsi="Arial" w:cs="Arial"/>
          <w:sz w:val="22"/>
          <w:szCs w:val="22"/>
        </w:rPr>
      </w:pPr>
      <w:r w:rsidRPr="0075271B">
        <w:rPr>
          <w:rFonts w:ascii="Arial" w:hAnsi="Arial" w:cs="Arial"/>
          <w:b/>
          <w:sz w:val="22"/>
          <w:szCs w:val="22"/>
        </w:rPr>
        <w:t>3. PRAZOS:</w:t>
      </w:r>
    </w:p>
    <w:p w14:paraId="2FEAF2FB" w14:textId="77777777" w:rsidR="0075271B" w:rsidRDefault="00A00E5D" w:rsidP="0075271B">
      <w:pPr>
        <w:pStyle w:val="WW-Corpodetexto2"/>
        <w:widowControl/>
        <w:spacing w:line="276" w:lineRule="auto"/>
        <w:rPr>
          <w:rFonts w:eastAsia="Times New Roman" w:cs="Arial"/>
          <w:sz w:val="24"/>
          <w:szCs w:val="24"/>
        </w:rPr>
      </w:pPr>
      <w:r w:rsidRPr="0075271B">
        <w:rPr>
          <w:rFonts w:eastAsia="Times New Roman" w:cs="Arial"/>
          <w:b/>
          <w:bCs/>
          <w:sz w:val="22"/>
          <w:szCs w:val="22"/>
        </w:rPr>
        <w:tab/>
      </w:r>
      <w:r w:rsidR="0075271B" w:rsidRPr="0075271B">
        <w:rPr>
          <w:rFonts w:eastAsia="Times New Roman" w:cs="Arial"/>
          <w:bCs/>
          <w:sz w:val="24"/>
          <w:szCs w:val="24"/>
        </w:rPr>
        <w:t xml:space="preserve">O prazo para entrega dos produtos deverá ser de até 30 </w:t>
      </w:r>
      <w:r w:rsidR="0075271B" w:rsidRPr="0075271B">
        <w:rPr>
          <w:rFonts w:eastAsia="Times New Roman" w:cs="Arial"/>
          <w:sz w:val="24"/>
          <w:szCs w:val="24"/>
        </w:rPr>
        <w:t>(trinta) dias, contados a partir do recebimen</w:t>
      </w:r>
      <w:r w:rsidR="0075271B">
        <w:rPr>
          <w:rFonts w:eastAsia="Times New Roman" w:cs="Arial"/>
          <w:sz w:val="24"/>
          <w:szCs w:val="24"/>
        </w:rPr>
        <w:t>to da solicitação e autorização</w:t>
      </w:r>
      <w:r w:rsidR="00315F42">
        <w:rPr>
          <w:rFonts w:eastAsia="Times New Roman" w:cs="Arial"/>
          <w:sz w:val="24"/>
          <w:szCs w:val="24"/>
        </w:rPr>
        <w:t>.</w:t>
      </w:r>
    </w:p>
    <w:p w14:paraId="6378442C" w14:textId="77777777" w:rsidR="00CA10A5" w:rsidRPr="0075271B" w:rsidRDefault="00CA10A5" w:rsidP="0075271B">
      <w:pPr>
        <w:pStyle w:val="WW-Corpodetexto2"/>
        <w:widowControl/>
        <w:spacing w:line="276" w:lineRule="auto"/>
        <w:rPr>
          <w:rFonts w:eastAsia="Times New Roman" w:cs="Arial"/>
        </w:rPr>
      </w:pPr>
    </w:p>
    <w:p w14:paraId="17DC46A5" w14:textId="77777777" w:rsidR="00CA10A5" w:rsidRPr="0075271B" w:rsidRDefault="00A00E5D">
      <w:pPr>
        <w:pStyle w:val="PargrafodaLista"/>
        <w:spacing w:after="120"/>
        <w:ind w:left="567"/>
        <w:rPr>
          <w:rFonts w:ascii="Arial" w:hAnsi="Arial" w:cs="Arial"/>
        </w:rPr>
      </w:pPr>
      <w:r w:rsidRPr="0075271B">
        <w:rPr>
          <w:rFonts w:ascii="Arial" w:hAnsi="Arial" w:cs="Arial"/>
          <w:b/>
        </w:rPr>
        <w:t>4. MODO E LOCAL DO FORNECIMENTO:</w:t>
      </w:r>
    </w:p>
    <w:p w14:paraId="788EE8AD" w14:textId="77777777" w:rsidR="00D751DF" w:rsidRPr="0075271B" w:rsidRDefault="00A00E5D" w:rsidP="00D751D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 w:cs="Arial"/>
          <w:b/>
          <w:bCs/>
          <w:sz w:val="24"/>
          <w:szCs w:val="22"/>
        </w:rPr>
      </w:pPr>
      <w:r w:rsidRPr="0075271B">
        <w:rPr>
          <w:rFonts w:ascii="Arial" w:hAnsi="Arial" w:cs="Arial"/>
          <w:b/>
          <w:bCs/>
          <w:sz w:val="24"/>
          <w:szCs w:val="22"/>
        </w:rPr>
        <w:t>4.1. A entrega dos insumos e/ou execução dos serviços serão efetuadas:</w:t>
      </w:r>
    </w:p>
    <w:p w14:paraId="1D8132A8" w14:textId="77777777" w:rsidR="00B33F81" w:rsidRPr="00745019" w:rsidRDefault="00745019" w:rsidP="00745019">
      <w:pPr>
        <w:pStyle w:val="WW-Corpodetexto2"/>
        <w:widowControl/>
        <w:spacing w:line="276" w:lineRule="auto"/>
        <w:ind w:firstLine="709"/>
        <w:rPr>
          <w:rFonts w:eastAsia="Times New Roman" w:cs="Arial"/>
          <w:bCs/>
          <w:sz w:val="24"/>
          <w:szCs w:val="22"/>
        </w:rPr>
      </w:pPr>
      <w:r>
        <w:rPr>
          <w:rFonts w:eastAsia="Times New Roman" w:cs="Arial"/>
          <w:bCs/>
          <w:sz w:val="24"/>
          <w:szCs w:val="22"/>
        </w:rPr>
        <w:t>A e</w:t>
      </w:r>
      <w:r w:rsidR="007E550D" w:rsidRPr="00745019">
        <w:rPr>
          <w:rFonts w:eastAsia="Times New Roman" w:cs="Arial"/>
          <w:bCs/>
          <w:sz w:val="24"/>
          <w:szCs w:val="22"/>
        </w:rPr>
        <w:t xml:space="preserve">ntrega dos aparelhos ou execução dos serviços técnicos deverá será efetuada no domicílio do paciente pela empresa ganhadora do certame, através de solicitação do Responsável pela </w:t>
      </w:r>
      <w:r w:rsidR="00361644">
        <w:rPr>
          <w:rFonts w:eastAsia="Times New Roman" w:cs="Arial"/>
          <w:bCs/>
          <w:sz w:val="24"/>
          <w:szCs w:val="22"/>
        </w:rPr>
        <w:t>O</w:t>
      </w:r>
      <w:r w:rsidR="00361644" w:rsidRPr="00745019">
        <w:rPr>
          <w:rFonts w:eastAsia="Times New Roman" w:cs="Arial"/>
          <w:bCs/>
          <w:sz w:val="24"/>
          <w:szCs w:val="22"/>
        </w:rPr>
        <w:t>xigenoterapia</w:t>
      </w:r>
      <w:r w:rsidR="007E550D" w:rsidRPr="00745019">
        <w:rPr>
          <w:rFonts w:eastAsia="Times New Roman" w:cs="Arial"/>
          <w:bCs/>
          <w:sz w:val="24"/>
          <w:szCs w:val="22"/>
        </w:rPr>
        <w:t xml:space="preserve"> da Superintendência de Atenção à Saúde</w:t>
      </w:r>
      <w:r>
        <w:rPr>
          <w:rFonts w:eastAsia="Times New Roman" w:cs="Arial"/>
          <w:bCs/>
          <w:sz w:val="24"/>
          <w:szCs w:val="22"/>
        </w:rPr>
        <w:t>.</w:t>
      </w:r>
    </w:p>
    <w:p w14:paraId="0081099D" w14:textId="77777777" w:rsidR="00CA10A5" w:rsidRPr="0075271B" w:rsidRDefault="00A00E5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75271B">
        <w:rPr>
          <w:rFonts w:ascii="Arial" w:hAnsi="Arial" w:cs="Arial"/>
          <w:b/>
          <w:sz w:val="22"/>
          <w:szCs w:val="22"/>
        </w:rPr>
        <w:t>4.2. Prazo e validade da proposta:</w:t>
      </w:r>
    </w:p>
    <w:p w14:paraId="715A7073" w14:textId="77777777" w:rsidR="00CA10A5" w:rsidRDefault="00A00E5D">
      <w:pPr>
        <w:spacing w:after="120" w:line="276" w:lineRule="auto"/>
        <w:rPr>
          <w:rFonts w:ascii="Arial" w:hAnsi="Arial" w:cs="Arial"/>
          <w:sz w:val="24"/>
          <w:szCs w:val="22"/>
        </w:rPr>
      </w:pPr>
      <w:r w:rsidRPr="0075271B">
        <w:rPr>
          <w:rFonts w:ascii="Arial" w:hAnsi="Arial" w:cs="Arial"/>
          <w:sz w:val="24"/>
          <w:szCs w:val="22"/>
        </w:rPr>
        <w:t>O prazo da proposta não poderá ser inferior a 60 (sessenta) dias.</w:t>
      </w:r>
    </w:p>
    <w:p w14:paraId="3598D042" w14:textId="77777777" w:rsidR="00CA10A5" w:rsidRDefault="00A00E5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271B">
        <w:rPr>
          <w:rFonts w:ascii="Arial" w:hAnsi="Arial" w:cs="Arial"/>
          <w:b/>
          <w:bCs/>
          <w:sz w:val="22"/>
          <w:szCs w:val="22"/>
        </w:rPr>
        <w:t>4.3. Descrição detalhada do produto e ou serviço:</w:t>
      </w:r>
    </w:p>
    <w:p w14:paraId="427A4952" w14:textId="77777777" w:rsidR="005F3720" w:rsidRPr="0075271B" w:rsidRDefault="005F37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7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"/>
        <w:gridCol w:w="6580"/>
        <w:gridCol w:w="708"/>
        <w:gridCol w:w="993"/>
        <w:gridCol w:w="819"/>
      </w:tblGrid>
      <w:tr w:rsidR="000B44D0" w:rsidRPr="00E7092D" w14:paraId="15813100" w14:textId="77777777" w:rsidTr="000B44D0">
        <w:trPr>
          <w:trHeight w:val="4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BA45B" w14:textId="77777777" w:rsidR="00E97F6C" w:rsidRPr="00E7092D" w:rsidRDefault="00E97F6C" w:rsidP="00E7092D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E7092D">
              <w:rPr>
                <w:rFonts w:ascii="Arial" w:hAnsi="Arial" w:cs="Arial"/>
                <w:bCs/>
                <w:sz w:val="24"/>
              </w:rPr>
              <w:t>Item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D2189" w14:textId="77777777" w:rsidR="00E97F6C" w:rsidRPr="00E7092D" w:rsidRDefault="00E97F6C" w:rsidP="00E7092D">
            <w:pPr>
              <w:snapToGrid w:val="0"/>
              <w:spacing w:line="276" w:lineRule="auto"/>
              <w:ind w:right="-11"/>
              <w:jc w:val="center"/>
              <w:rPr>
                <w:rFonts w:ascii="Arial" w:hAnsi="Arial" w:cs="Arial"/>
                <w:bCs/>
                <w:sz w:val="24"/>
              </w:rPr>
            </w:pPr>
            <w:r w:rsidRPr="00E7092D">
              <w:rPr>
                <w:rFonts w:ascii="Arial" w:hAnsi="Arial" w:cs="Arial"/>
                <w:bCs/>
                <w:sz w:val="24"/>
              </w:rPr>
              <w:t>Especificações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C3C84" w14:textId="77777777" w:rsidR="00E97F6C" w:rsidRPr="00E7092D" w:rsidRDefault="00E97F6C" w:rsidP="00E7092D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E7092D">
              <w:rPr>
                <w:rFonts w:ascii="Arial" w:hAnsi="Arial" w:cs="Arial"/>
                <w:bCs/>
                <w:sz w:val="24"/>
              </w:rPr>
              <w:t>Unid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A7330" w14:textId="77777777" w:rsidR="00E97F6C" w:rsidRDefault="00E97F6C" w:rsidP="00E7092D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E7092D">
              <w:rPr>
                <w:rFonts w:ascii="Arial" w:hAnsi="Arial" w:cs="Arial"/>
                <w:bCs/>
                <w:sz w:val="24"/>
              </w:rPr>
              <w:t>Quant</w:t>
            </w:r>
          </w:p>
          <w:p w14:paraId="36D1CD1B" w14:textId="77777777" w:rsidR="00E97F6C" w:rsidRPr="00E7092D" w:rsidRDefault="00E97F6C" w:rsidP="00E7092D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Mensal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B66864" w14:textId="77777777" w:rsidR="00E97F6C" w:rsidRDefault="00E97F6C" w:rsidP="00E97F6C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E7092D">
              <w:rPr>
                <w:rFonts w:ascii="Arial" w:hAnsi="Arial" w:cs="Arial"/>
                <w:bCs/>
                <w:sz w:val="24"/>
              </w:rPr>
              <w:t>Quant</w:t>
            </w:r>
          </w:p>
          <w:p w14:paraId="55CF872A" w14:textId="77777777" w:rsidR="00E97F6C" w:rsidRPr="00E7092D" w:rsidRDefault="00E97F6C" w:rsidP="00E97F6C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Anual</w:t>
            </w:r>
          </w:p>
        </w:tc>
      </w:tr>
      <w:tr w:rsidR="000B44D0" w:rsidRPr="00E7092D" w14:paraId="6A7B0C8A" w14:textId="77777777" w:rsidTr="000B44D0">
        <w:trPr>
          <w:trHeight w:val="4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17F34" w14:textId="77777777" w:rsidR="00E97F6C" w:rsidRPr="00E7092D" w:rsidRDefault="00E97F6C" w:rsidP="00E7092D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E7092D">
              <w:rPr>
                <w:rFonts w:ascii="Arial" w:hAnsi="Arial" w:cs="Arial"/>
                <w:bCs/>
                <w:sz w:val="24"/>
              </w:rPr>
              <w:t>01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9BC31" w14:textId="254B455B" w:rsidR="00E97F6C" w:rsidRPr="00E7092D" w:rsidRDefault="00E97F6C" w:rsidP="009825BA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24"/>
              </w:rPr>
            </w:pPr>
            <w:r w:rsidRPr="00E7092D">
              <w:rPr>
                <w:rFonts w:ascii="Arial" w:hAnsi="Arial" w:cs="Arial"/>
                <w:sz w:val="24"/>
              </w:rPr>
              <w:t xml:space="preserve">Cilindro De Gases </w:t>
            </w:r>
            <w:r w:rsidRPr="00564F95">
              <w:rPr>
                <w:rFonts w:ascii="Arial" w:hAnsi="Arial" w:cs="Arial"/>
                <w:sz w:val="24"/>
              </w:rPr>
              <w:t>Medicinais (</w:t>
            </w:r>
            <w:r w:rsidR="000B44D0" w:rsidRPr="00564F95">
              <w:rPr>
                <w:rFonts w:ascii="Arial" w:hAnsi="Arial" w:cs="Arial"/>
                <w:sz w:val="24"/>
              </w:rPr>
              <w:t>Home Care</w:t>
            </w:r>
            <w:r w:rsidRPr="00564F95">
              <w:rPr>
                <w:rFonts w:ascii="Arial" w:hAnsi="Arial" w:cs="Arial"/>
                <w:sz w:val="24"/>
              </w:rPr>
              <w:t>)</w:t>
            </w:r>
            <w:r w:rsidR="009825BA">
              <w:rPr>
                <w:rFonts w:ascii="Arial" w:hAnsi="Arial" w:cs="Arial"/>
                <w:sz w:val="24"/>
              </w:rPr>
              <w:t xml:space="preserve"> 10m³</w:t>
            </w:r>
            <w:r w:rsidR="000B44D0">
              <w:rPr>
                <w:rFonts w:ascii="Arial" w:hAnsi="Arial" w:cs="Arial"/>
                <w:sz w:val="24"/>
              </w:rPr>
              <w:t xml:space="preserve"> </w:t>
            </w:r>
            <w:r w:rsidR="009825BA">
              <w:rPr>
                <w:rFonts w:ascii="Arial" w:hAnsi="Arial" w:cs="Arial"/>
                <w:sz w:val="24"/>
              </w:rPr>
              <w:t xml:space="preserve">com suporte de chão </w:t>
            </w:r>
            <w:r w:rsidRPr="00564F95">
              <w:rPr>
                <w:rFonts w:ascii="Arial" w:hAnsi="Arial" w:cs="Arial"/>
                <w:sz w:val="24"/>
              </w:rPr>
              <w:t>– Com Regulador De Pressão, Flux</w:t>
            </w:r>
            <w:r w:rsidR="00F03D02">
              <w:rPr>
                <w:rFonts w:ascii="Arial" w:hAnsi="Arial" w:cs="Arial"/>
                <w:sz w:val="24"/>
              </w:rPr>
              <w:t>o</w:t>
            </w:r>
            <w:r w:rsidRPr="00564F95">
              <w:rPr>
                <w:rFonts w:ascii="Arial" w:hAnsi="Arial" w:cs="Arial"/>
                <w:sz w:val="24"/>
              </w:rPr>
              <w:t xml:space="preserve">metro, </w:t>
            </w:r>
            <w:r w:rsidR="009825BA">
              <w:rPr>
                <w:rFonts w:ascii="Arial" w:hAnsi="Arial" w:cs="Arial"/>
                <w:sz w:val="24"/>
              </w:rPr>
              <w:t>Umidificador, Cateter</w:t>
            </w:r>
            <w:r w:rsidR="009825BA" w:rsidRPr="00564F95">
              <w:rPr>
                <w:rFonts w:ascii="Arial" w:hAnsi="Arial" w:cs="Arial"/>
                <w:sz w:val="24"/>
              </w:rPr>
              <w:t xml:space="preserve"> Óculos</w:t>
            </w:r>
            <w:r w:rsidR="009825BA">
              <w:rPr>
                <w:rFonts w:ascii="Arial" w:hAnsi="Arial" w:cs="Arial"/>
                <w:sz w:val="24"/>
              </w:rPr>
              <w:t xml:space="preserve">, Máscara de oxigênio de alta concentração Com Reservatório, máscara infantil e adulto </w:t>
            </w:r>
            <w:r w:rsidR="009825BA">
              <w:rPr>
                <w:rFonts w:ascii="Arial" w:hAnsi="Arial" w:cs="Arial"/>
                <w:sz w:val="24"/>
              </w:rPr>
              <w:lastRenderedPageBreak/>
              <w:t>para traqueostomia com conector compatível. K</w:t>
            </w:r>
            <w:r w:rsidRPr="00E7092D">
              <w:rPr>
                <w:rFonts w:ascii="Arial" w:hAnsi="Arial" w:cs="Arial"/>
                <w:sz w:val="24"/>
              </w:rPr>
              <w:t xml:space="preserve">it De Macronebulizador Com Capacidade </w:t>
            </w:r>
            <w:r w:rsidR="009825BA">
              <w:rPr>
                <w:rFonts w:ascii="Arial" w:hAnsi="Arial" w:cs="Arial"/>
                <w:sz w:val="24"/>
              </w:rPr>
              <w:t>de</w:t>
            </w:r>
            <w:r w:rsidRPr="00E7092D">
              <w:rPr>
                <w:rFonts w:ascii="Arial" w:hAnsi="Arial" w:cs="Arial"/>
                <w:sz w:val="24"/>
              </w:rPr>
              <w:t>10</w:t>
            </w:r>
            <w:r w:rsidRPr="008053B6">
              <w:rPr>
                <w:rFonts w:ascii="Arial" w:hAnsi="Arial" w:cs="Arial"/>
                <w:sz w:val="24"/>
              </w:rPr>
              <w:t xml:space="preserve"> M³</w:t>
            </w:r>
            <w:r w:rsidR="009825B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57686" w14:textId="77777777" w:rsidR="00E97F6C" w:rsidRPr="00564F95" w:rsidRDefault="00E97F6C" w:rsidP="008053B6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564F95">
              <w:rPr>
                <w:rFonts w:ascii="Arial" w:hAnsi="Arial" w:cs="Arial"/>
                <w:bCs/>
                <w:sz w:val="24"/>
              </w:rPr>
              <w:lastRenderedPageBreak/>
              <w:t>Unid.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0BA89" w14:textId="77777777" w:rsidR="00E97F6C" w:rsidRPr="00E7092D" w:rsidRDefault="00E97F6C" w:rsidP="00745019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100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0FB08" w14:textId="77777777" w:rsidR="00E97F6C" w:rsidRPr="00E7092D" w:rsidRDefault="00E97F6C" w:rsidP="00E97F6C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1200</w:t>
            </w:r>
          </w:p>
        </w:tc>
      </w:tr>
      <w:tr w:rsidR="000B44D0" w:rsidRPr="00E7092D" w14:paraId="23E302F4" w14:textId="77777777" w:rsidTr="000B44D0">
        <w:trPr>
          <w:trHeight w:val="4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CF18A" w14:textId="77777777" w:rsidR="00E97F6C" w:rsidRPr="00E7092D" w:rsidRDefault="00E97F6C" w:rsidP="00E7092D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E7092D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AE1B8" w14:textId="77777777" w:rsidR="00D35E3D" w:rsidRDefault="00E97F6C" w:rsidP="00D35E3D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564F95">
              <w:rPr>
                <w:rFonts w:ascii="Arial" w:hAnsi="Arial" w:cs="Arial"/>
                <w:bCs/>
                <w:sz w:val="24"/>
              </w:rPr>
              <w:t>Concentrador De Oxigênio Medicinal, Elétrico, Mais Cilindro De Backup (</w:t>
            </w:r>
            <w:r w:rsidR="000B44D0" w:rsidRPr="00564F95">
              <w:rPr>
                <w:rFonts w:ascii="Arial" w:hAnsi="Arial" w:cs="Arial"/>
                <w:bCs/>
                <w:sz w:val="24"/>
              </w:rPr>
              <w:t>Home Care</w:t>
            </w:r>
            <w:r w:rsidRPr="00564F95">
              <w:rPr>
                <w:rFonts w:ascii="Arial" w:hAnsi="Arial" w:cs="Arial"/>
                <w:bCs/>
                <w:sz w:val="24"/>
              </w:rPr>
              <w:t>)</w:t>
            </w:r>
            <w:r w:rsidR="00D35E3D">
              <w:rPr>
                <w:rFonts w:ascii="Arial" w:hAnsi="Arial" w:cs="Arial"/>
                <w:bCs/>
                <w:sz w:val="24"/>
              </w:rPr>
              <w:t>:</w:t>
            </w:r>
            <w:r w:rsidRPr="00564F95">
              <w:rPr>
                <w:rFonts w:ascii="Arial" w:hAnsi="Arial" w:cs="Arial"/>
                <w:bCs/>
                <w:sz w:val="24"/>
              </w:rPr>
              <w:t xml:space="preserve"> </w:t>
            </w:r>
          </w:p>
          <w:p w14:paraId="45E23E96" w14:textId="72A59462" w:rsidR="00D35E3D" w:rsidRDefault="00D35E3D" w:rsidP="00D35E3D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1 - </w:t>
            </w:r>
            <w:r w:rsidR="00F03D02" w:rsidRPr="00564F95">
              <w:rPr>
                <w:rFonts w:ascii="Arial" w:hAnsi="Arial" w:cs="Arial"/>
                <w:bCs/>
                <w:sz w:val="24"/>
              </w:rPr>
              <w:t>Capacidade</w:t>
            </w:r>
            <w:r w:rsidR="00E97F6C" w:rsidRPr="00564F95">
              <w:rPr>
                <w:rFonts w:ascii="Arial" w:hAnsi="Arial" w:cs="Arial"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t xml:space="preserve">de </w:t>
            </w:r>
            <w:r w:rsidR="00E97F6C" w:rsidRPr="00564F95">
              <w:rPr>
                <w:rFonts w:ascii="Arial" w:hAnsi="Arial" w:cs="Arial"/>
                <w:sz w:val="24"/>
              </w:rPr>
              <w:t>10 m³</w:t>
            </w:r>
            <w:r w:rsidR="00E97F6C" w:rsidRPr="00564F95">
              <w:rPr>
                <w:rFonts w:ascii="Arial" w:hAnsi="Arial" w:cs="Arial"/>
                <w:bCs/>
                <w:sz w:val="24"/>
              </w:rPr>
              <w:t xml:space="preserve"> para uso domiciliar, que permita reter o nitrogênio e outros gases contidos no ar ambiente, propor</w:t>
            </w:r>
            <w:r>
              <w:rPr>
                <w:rFonts w:ascii="Arial" w:hAnsi="Arial" w:cs="Arial"/>
                <w:bCs/>
                <w:sz w:val="24"/>
              </w:rPr>
              <w:t>cionando ao paciente oxigenação;</w:t>
            </w:r>
          </w:p>
          <w:p w14:paraId="1387EC2B" w14:textId="3EC43438" w:rsidR="00D35E3D" w:rsidRDefault="00D35E3D" w:rsidP="00D35E3D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2 - </w:t>
            </w:r>
            <w:r w:rsidR="00F03D02" w:rsidRPr="00564F95">
              <w:rPr>
                <w:rFonts w:ascii="Arial" w:hAnsi="Arial" w:cs="Arial"/>
                <w:bCs/>
                <w:sz w:val="24"/>
              </w:rPr>
              <w:t>Concentração</w:t>
            </w:r>
            <w:r w:rsidR="00E97F6C" w:rsidRPr="00564F95">
              <w:rPr>
                <w:rFonts w:ascii="Arial" w:hAnsi="Arial" w:cs="Arial"/>
                <w:bCs/>
                <w:sz w:val="24"/>
              </w:rPr>
              <w:t xml:space="preserve"> variável entre 93</w:t>
            </w:r>
            <w:r>
              <w:rPr>
                <w:rFonts w:ascii="Arial" w:hAnsi="Arial" w:cs="Arial"/>
                <w:bCs/>
                <w:sz w:val="24"/>
              </w:rPr>
              <w:t>%</w:t>
            </w:r>
            <w:r w:rsidR="00E97F6C" w:rsidRPr="00564F95">
              <w:rPr>
                <w:rFonts w:ascii="Arial" w:hAnsi="Arial" w:cs="Arial"/>
                <w:bCs/>
                <w:sz w:val="24"/>
              </w:rPr>
              <w:t xml:space="preserve"> a +ou- 3%,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</w:p>
          <w:p w14:paraId="607BE1C5" w14:textId="099AFDCA" w:rsidR="00D35E3D" w:rsidRDefault="00D35E3D" w:rsidP="00D35E3D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3 - </w:t>
            </w:r>
            <w:r w:rsidR="00F03D02">
              <w:rPr>
                <w:rFonts w:ascii="Arial" w:hAnsi="Arial" w:cs="Arial"/>
                <w:bCs/>
                <w:sz w:val="24"/>
              </w:rPr>
              <w:t>Capacidade</w:t>
            </w:r>
            <w:r>
              <w:rPr>
                <w:rFonts w:ascii="Arial" w:hAnsi="Arial" w:cs="Arial"/>
                <w:bCs/>
                <w:sz w:val="24"/>
              </w:rPr>
              <w:t xml:space="preserve"> de 0</w:t>
            </w:r>
            <w:r w:rsidR="00E97F6C" w:rsidRPr="00E7092D">
              <w:rPr>
                <w:rFonts w:ascii="Arial" w:hAnsi="Arial" w:cs="Arial"/>
                <w:bCs/>
                <w:sz w:val="24"/>
              </w:rPr>
              <w:t xml:space="preserve"> à </w:t>
            </w:r>
            <w:r w:rsidR="00E97F6C">
              <w:rPr>
                <w:rFonts w:ascii="Arial" w:hAnsi="Arial" w:cs="Arial"/>
                <w:bCs/>
                <w:sz w:val="24"/>
              </w:rPr>
              <w:t>10</w:t>
            </w:r>
            <w:r>
              <w:rPr>
                <w:rFonts w:ascii="Arial" w:hAnsi="Arial" w:cs="Arial"/>
                <w:bCs/>
                <w:sz w:val="24"/>
              </w:rPr>
              <w:t xml:space="preserve"> litros/minutos </w:t>
            </w:r>
          </w:p>
          <w:p w14:paraId="0B912C98" w14:textId="168C15A8" w:rsidR="00D35E3D" w:rsidRDefault="00D35E3D" w:rsidP="00D35E3D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4 - </w:t>
            </w:r>
            <w:r w:rsidR="00F03D02" w:rsidRPr="00E7092D">
              <w:rPr>
                <w:rFonts w:ascii="Arial" w:hAnsi="Arial" w:cs="Arial"/>
                <w:bCs/>
                <w:sz w:val="24"/>
              </w:rPr>
              <w:t>Sistema</w:t>
            </w:r>
            <w:r w:rsidR="00E97F6C" w:rsidRPr="00E7092D">
              <w:rPr>
                <w:rFonts w:ascii="Arial" w:hAnsi="Arial" w:cs="Arial"/>
                <w:bCs/>
                <w:sz w:val="24"/>
              </w:rPr>
              <w:t xml:space="preserve"> indicador de pureza, com </w:t>
            </w:r>
            <w:r>
              <w:rPr>
                <w:rFonts w:ascii="Arial" w:hAnsi="Arial" w:cs="Arial"/>
                <w:bCs/>
                <w:sz w:val="24"/>
              </w:rPr>
              <w:t>filtro de partículas na entrada e nebulizador;</w:t>
            </w:r>
          </w:p>
          <w:p w14:paraId="5B687784" w14:textId="61248F75" w:rsidR="00D35E3D" w:rsidRDefault="00D35E3D" w:rsidP="00D35E3D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5 -</w:t>
            </w:r>
            <w:r w:rsidR="00E97F6C" w:rsidRPr="00E7092D">
              <w:rPr>
                <w:rFonts w:ascii="Arial" w:hAnsi="Arial" w:cs="Arial"/>
                <w:bCs/>
                <w:sz w:val="24"/>
              </w:rPr>
              <w:t xml:space="preserve"> </w:t>
            </w:r>
            <w:r w:rsidR="00F03D02" w:rsidRPr="00E7092D">
              <w:rPr>
                <w:rFonts w:ascii="Arial" w:hAnsi="Arial" w:cs="Arial"/>
                <w:bCs/>
                <w:sz w:val="24"/>
              </w:rPr>
              <w:t>Sistema</w:t>
            </w:r>
            <w:r w:rsidR="00E97F6C" w:rsidRPr="00E7092D">
              <w:rPr>
                <w:rFonts w:ascii="Arial" w:hAnsi="Arial" w:cs="Arial"/>
                <w:bCs/>
                <w:sz w:val="24"/>
              </w:rPr>
              <w:t xml:space="preserve"> de desligamento automático para sobrecarga,</w:t>
            </w:r>
            <w:r>
              <w:rPr>
                <w:rFonts w:ascii="Arial" w:hAnsi="Arial" w:cs="Arial"/>
                <w:bCs/>
                <w:sz w:val="24"/>
              </w:rPr>
              <w:t xml:space="preserve"> alta temperatura e alta tensão;</w:t>
            </w:r>
          </w:p>
          <w:p w14:paraId="51BDFAEA" w14:textId="6F74DA6B" w:rsidR="00D35E3D" w:rsidRDefault="00D35E3D" w:rsidP="00D35E3D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6 - </w:t>
            </w:r>
            <w:r w:rsidR="00F03D02" w:rsidRPr="00E7092D">
              <w:rPr>
                <w:rFonts w:ascii="Arial" w:hAnsi="Arial" w:cs="Arial"/>
                <w:bCs/>
                <w:sz w:val="24"/>
              </w:rPr>
              <w:t>Sistema</w:t>
            </w:r>
            <w:r w:rsidR="00E97F6C" w:rsidRPr="00E7092D">
              <w:rPr>
                <w:rFonts w:ascii="Arial" w:hAnsi="Arial" w:cs="Arial"/>
                <w:bCs/>
                <w:sz w:val="24"/>
              </w:rPr>
              <w:t xml:space="preserve"> de alarme por falta de energia e baixa concentração de O2 na saída. </w:t>
            </w:r>
          </w:p>
          <w:p w14:paraId="004FB56F" w14:textId="77777777" w:rsidR="00D35E3D" w:rsidRDefault="00D35E3D" w:rsidP="00D35E3D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7 - Voltagem 110V, </w:t>
            </w:r>
          </w:p>
          <w:p w14:paraId="0CF00F50" w14:textId="2F391561" w:rsidR="00D35E3D" w:rsidRDefault="00D35E3D" w:rsidP="00D35E3D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8 - </w:t>
            </w:r>
            <w:r w:rsidR="00F03D02">
              <w:rPr>
                <w:rFonts w:ascii="Arial" w:hAnsi="Arial" w:cs="Arial"/>
                <w:bCs/>
                <w:sz w:val="24"/>
              </w:rPr>
              <w:t>Modo</w:t>
            </w:r>
            <w:r>
              <w:rPr>
                <w:rFonts w:ascii="Arial" w:hAnsi="Arial" w:cs="Arial"/>
                <w:bCs/>
                <w:sz w:val="24"/>
              </w:rPr>
              <w:t xml:space="preserve"> de funcionamento contínuo, </w:t>
            </w:r>
          </w:p>
          <w:p w14:paraId="70881513" w14:textId="6885BF3F" w:rsidR="00D35E3D" w:rsidRDefault="00D35E3D" w:rsidP="00D35E3D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9 - </w:t>
            </w:r>
            <w:r w:rsidR="00F03D02">
              <w:rPr>
                <w:rFonts w:ascii="Arial" w:hAnsi="Arial" w:cs="Arial"/>
                <w:bCs/>
                <w:sz w:val="24"/>
              </w:rPr>
              <w:t>Pressão</w:t>
            </w:r>
            <w:r>
              <w:rPr>
                <w:rFonts w:ascii="Arial" w:hAnsi="Arial" w:cs="Arial"/>
                <w:bCs/>
                <w:sz w:val="24"/>
              </w:rPr>
              <w:t xml:space="preserve"> máxima de saída de 17 a 30 psi, </w:t>
            </w:r>
          </w:p>
          <w:p w14:paraId="2F9D7E25" w14:textId="12C4B8EA" w:rsidR="00D35E3D" w:rsidRDefault="00D35E3D" w:rsidP="00D35E3D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10 - </w:t>
            </w:r>
            <w:r w:rsidR="00F03D02">
              <w:rPr>
                <w:rFonts w:ascii="Arial" w:hAnsi="Arial" w:cs="Arial"/>
                <w:bCs/>
                <w:sz w:val="24"/>
              </w:rPr>
              <w:t>Ruído</w:t>
            </w:r>
            <w:r>
              <w:rPr>
                <w:rFonts w:ascii="Arial" w:hAnsi="Arial" w:cs="Arial"/>
                <w:bCs/>
                <w:sz w:val="24"/>
              </w:rPr>
              <w:t xml:space="preserve"> menor ou igual a 50DB, </w:t>
            </w:r>
          </w:p>
          <w:p w14:paraId="47FD0C8F" w14:textId="5647EB67" w:rsidR="00D35E3D" w:rsidRDefault="00D35E3D" w:rsidP="00D35E3D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11- </w:t>
            </w:r>
            <w:r w:rsidR="00F03D02">
              <w:rPr>
                <w:rFonts w:ascii="Arial" w:hAnsi="Arial" w:cs="Arial"/>
                <w:bCs/>
                <w:sz w:val="24"/>
              </w:rPr>
              <w:t>Peso</w:t>
            </w:r>
            <w:r>
              <w:rPr>
                <w:rFonts w:ascii="Arial" w:hAnsi="Arial" w:cs="Arial"/>
                <w:bCs/>
                <w:sz w:val="24"/>
              </w:rPr>
              <w:t xml:space="preserve"> menor ou igual a 30kg, </w:t>
            </w:r>
          </w:p>
          <w:p w14:paraId="51D7AFDA" w14:textId="551267A9" w:rsidR="00E97F6C" w:rsidRDefault="00D35E3D" w:rsidP="00D35E3D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12 - </w:t>
            </w:r>
            <w:r w:rsidR="00F03D02">
              <w:rPr>
                <w:rFonts w:ascii="Arial" w:hAnsi="Arial" w:cs="Arial"/>
                <w:bCs/>
                <w:sz w:val="24"/>
              </w:rPr>
              <w:t>Consumo</w:t>
            </w:r>
            <w:r>
              <w:rPr>
                <w:rFonts w:ascii="Arial" w:hAnsi="Arial" w:cs="Arial"/>
                <w:bCs/>
                <w:sz w:val="24"/>
              </w:rPr>
              <w:t xml:space="preserve"> de energia menor ou igual a 610W.</w:t>
            </w:r>
          </w:p>
          <w:p w14:paraId="5A82193B" w14:textId="69C77545" w:rsidR="00D35E3D" w:rsidRPr="00E7092D" w:rsidRDefault="00D35E3D" w:rsidP="00D35E3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13 – Acessórios: </w:t>
            </w:r>
            <w:r>
              <w:rPr>
                <w:rFonts w:ascii="Arial" w:hAnsi="Arial" w:cs="Arial"/>
                <w:sz w:val="24"/>
              </w:rPr>
              <w:t>Umidificador, Cateter</w:t>
            </w:r>
            <w:r w:rsidRPr="00564F95">
              <w:rPr>
                <w:rFonts w:ascii="Arial" w:hAnsi="Arial" w:cs="Arial"/>
                <w:sz w:val="24"/>
              </w:rPr>
              <w:t xml:space="preserve"> Óculos</w:t>
            </w:r>
            <w:r>
              <w:rPr>
                <w:rFonts w:ascii="Arial" w:hAnsi="Arial" w:cs="Arial"/>
                <w:sz w:val="24"/>
              </w:rPr>
              <w:t>, Máscara de oxigênio de alta concentração Com Reservatório, máscara infantil e adulto par</w:t>
            </w:r>
            <w:r w:rsidR="00F03D02"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 xml:space="preserve"> traqueostomia com conector compatível.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EE0DF" w14:textId="77777777" w:rsidR="00E97F6C" w:rsidRPr="00564F95" w:rsidRDefault="00E97F6C" w:rsidP="008053B6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564F95">
              <w:rPr>
                <w:rFonts w:ascii="Arial" w:hAnsi="Arial" w:cs="Arial"/>
                <w:bCs/>
                <w:sz w:val="24"/>
              </w:rPr>
              <w:t>Unid.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5AF30" w14:textId="77777777" w:rsidR="00E97F6C" w:rsidRPr="00E7092D" w:rsidRDefault="00E97F6C" w:rsidP="00E7092D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6</w:t>
            </w:r>
            <w:r w:rsidRPr="00E7092D">
              <w:rPr>
                <w:rFonts w:ascii="Arial" w:hAnsi="Arial" w:cs="Arial"/>
                <w:bCs/>
                <w:sz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EBF06" w14:textId="77777777" w:rsidR="00E97F6C" w:rsidRPr="00E7092D" w:rsidRDefault="00E97F6C" w:rsidP="00E97F6C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720</w:t>
            </w:r>
          </w:p>
        </w:tc>
      </w:tr>
      <w:tr w:rsidR="000B44D0" w:rsidRPr="00E7092D" w14:paraId="74082CB3" w14:textId="77777777" w:rsidTr="000B44D0">
        <w:trPr>
          <w:trHeight w:val="4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4FFD7" w14:textId="77777777" w:rsidR="00E97F6C" w:rsidRPr="00E7092D" w:rsidRDefault="00E97F6C" w:rsidP="00E7092D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E7092D">
              <w:rPr>
                <w:rFonts w:ascii="Arial" w:hAnsi="Arial" w:cs="Arial"/>
                <w:bCs/>
                <w:sz w:val="24"/>
              </w:rPr>
              <w:t>03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7B399" w14:textId="77777777" w:rsidR="00E97F6C" w:rsidRPr="00E7092D" w:rsidRDefault="00E97F6C" w:rsidP="00E7092D">
            <w:pPr>
              <w:ind w:right="289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KIT PORTATIL DE OXIGENIO</w:t>
            </w:r>
          </w:p>
          <w:p w14:paraId="1281BBEB" w14:textId="0D4E6EFC" w:rsidR="00E97F6C" w:rsidRPr="00E7092D" w:rsidRDefault="00E97F6C" w:rsidP="00E7092D">
            <w:pPr>
              <w:ind w:right="289"/>
              <w:jc w:val="both"/>
              <w:rPr>
                <w:rFonts w:ascii="Arial" w:hAnsi="Arial" w:cs="Arial"/>
                <w:sz w:val="24"/>
              </w:rPr>
            </w:pPr>
            <w:r w:rsidRPr="00E7092D">
              <w:rPr>
                <w:rFonts w:ascii="Arial" w:hAnsi="Arial" w:cs="Arial"/>
                <w:sz w:val="24"/>
                <w:szCs w:val="18"/>
              </w:rPr>
              <w:t xml:space="preserve">1 – </w:t>
            </w:r>
            <w:r w:rsidRPr="00E7092D">
              <w:rPr>
                <w:rFonts w:ascii="Arial" w:hAnsi="Arial" w:cs="Arial"/>
                <w:sz w:val="24"/>
              </w:rPr>
              <w:t>Cilindro de O</w:t>
            </w:r>
            <w:r w:rsidRPr="00E7092D">
              <w:rPr>
                <w:rFonts w:ascii="Arial" w:hAnsi="Arial" w:cs="Arial"/>
                <w:sz w:val="24"/>
                <w:vertAlign w:val="subscript"/>
              </w:rPr>
              <w:t>2</w:t>
            </w:r>
            <w:r w:rsidRPr="00E7092D">
              <w:rPr>
                <w:rFonts w:ascii="Arial" w:hAnsi="Arial" w:cs="Arial"/>
                <w:sz w:val="24"/>
              </w:rPr>
              <w:t xml:space="preserve"> de alumínio com capacidade aproximada de 0,7 a 1m³.  Carregado com oxigênio medicinal. </w:t>
            </w:r>
          </w:p>
          <w:p w14:paraId="1612D6DA" w14:textId="77777777" w:rsidR="00E97F6C" w:rsidRPr="00E7092D" w:rsidRDefault="00E97F6C" w:rsidP="00E7092D">
            <w:pPr>
              <w:ind w:right="289"/>
              <w:jc w:val="both"/>
              <w:rPr>
                <w:rFonts w:ascii="Arial" w:hAnsi="Arial" w:cs="Arial"/>
                <w:sz w:val="24"/>
              </w:rPr>
            </w:pPr>
            <w:r w:rsidRPr="00E7092D">
              <w:rPr>
                <w:rFonts w:ascii="Arial" w:hAnsi="Arial" w:cs="Arial"/>
                <w:sz w:val="24"/>
              </w:rPr>
              <w:t>2 – Válvula de regulagem de pressão para ser conectada ao Cilindro de Oxigênio (O2)</w:t>
            </w:r>
          </w:p>
          <w:p w14:paraId="6BC930AD" w14:textId="335C67CF" w:rsidR="00E97F6C" w:rsidRPr="00E7092D" w:rsidRDefault="00E97F6C" w:rsidP="00E7092D">
            <w:pPr>
              <w:ind w:right="289"/>
              <w:jc w:val="both"/>
              <w:rPr>
                <w:rFonts w:ascii="Arial" w:hAnsi="Arial" w:cs="Arial"/>
                <w:sz w:val="24"/>
              </w:rPr>
            </w:pPr>
            <w:r w:rsidRPr="00E7092D">
              <w:rPr>
                <w:rFonts w:ascii="Arial" w:hAnsi="Arial" w:cs="Arial"/>
                <w:sz w:val="24"/>
              </w:rPr>
              <w:t xml:space="preserve">3 – </w:t>
            </w:r>
            <w:r w:rsidR="00F03D02" w:rsidRPr="00E7092D">
              <w:rPr>
                <w:rFonts w:ascii="Arial" w:hAnsi="Arial" w:cs="Arial"/>
                <w:sz w:val="24"/>
              </w:rPr>
              <w:t>Manômetro</w:t>
            </w:r>
            <w:r w:rsidRPr="00E7092D">
              <w:rPr>
                <w:rFonts w:ascii="Arial" w:hAnsi="Arial" w:cs="Arial"/>
                <w:sz w:val="24"/>
              </w:rPr>
              <w:t xml:space="preserve"> de válvula para indicar a quantidade de oxigênio no cilindro</w:t>
            </w:r>
          </w:p>
          <w:p w14:paraId="205D41A1" w14:textId="35BF538F" w:rsidR="00E97F6C" w:rsidRPr="00E7092D" w:rsidRDefault="00E97F6C" w:rsidP="00E7092D">
            <w:pPr>
              <w:ind w:right="289"/>
              <w:jc w:val="both"/>
              <w:rPr>
                <w:rFonts w:ascii="Arial" w:hAnsi="Arial" w:cs="Arial"/>
                <w:sz w:val="24"/>
              </w:rPr>
            </w:pPr>
            <w:r w:rsidRPr="00E7092D">
              <w:rPr>
                <w:rFonts w:ascii="Arial" w:hAnsi="Arial" w:cs="Arial"/>
                <w:sz w:val="24"/>
              </w:rPr>
              <w:t>4 – Flux</w:t>
            </w:r>
            <w:r w:rsidR="00F03D02">
              <w:rPr>
                <w:rFonts w:ascii="Arial" w:hAnsi="Arial" w:cs="Arial"/>
                <w:sz w:val="24"/>
              </w:rPr>
              <w:t>o</w:t>
            </w:r>
            <w:r w:rsidRPr="00E7092D">
              <w:rPr>
                <w:rFonts w:ascii="Arial" w:hAnsi="Arial" w:cs="Arial"/>
                <w:sz w:val="24"/>
              </w:rPr>
              <w:t>metro Click ou Bilha</w:t>
            </w:r>
          </w:p>
          <w:p w14:paraId="34AB7CCE" w14:textId="77777777" w:rsidR="00E97F6C" w:rsidRPr="00E7092D" w:rsidRDefault="00E97F6C" w:rsidP="00E7092D">
            <w:pPr>
              <w:ind w:right="289"/>
              <w:jc w:val="both"/>
              <w:rPr>
                <w:rFonts w:ascii="Arial" w:hAnsi="Arial" w:cs="Arial"/>
                <w:sz w:val="24"/>
              </w:rPr>
            </w:pPr>
            <w:r w:rsidRPr="00E7092D">
              <w:rPr>
                <w:rFonts w:ascii="Arial" w:hAnsi="Arial" w:cs="Arial"/>
                <w:sz w:val="24"/>
              </w:rPr>
              <w:t>5 – Umidificador</w:t>
            </w:r>
          </w:p>
          <w:p w14:paraId="31DFB0F8" w14:textId="77777777" w:rsidR="00E97F6C" w:rsidRPr="00E7092D" w:rsidRDefault="00E97F6C" w:rsidP="00E7092D">
            <w:pPr>
              <w:ind w:right="289"/>
              <w:jc w:val="both"/>
              <w:rPr>
                <w:rFonts w:ascii="Arial" w:hAnsi="Arial" w:cs="Arial"/>
                <w:sz w:val="24"/>
              </w:rPr>
            </w:pPr>
            <w:r w:rsidRPr="00E7092D">
              <w:rPr>
                <w:rFonts w:ascii="Arial" w:hAnsi="Arial" w:cs="Arial"/>
                <w:sz w:val="24"/>
              </w:rPr>
              <w:t>6 – Máscara com tubo flexível, cateter nasal (tipo óculos)</w:t>
            </w:r>
          </w:p>
          <w:p w14:paraId="6D94F488" w14:textId="007DE304" w:rsidR="00E97F6C" w:rsidRPr="00E7092D" w:rsidRDefault="00E97F6C" w:rsidP="00E7092D">
            <w:pPr>
              <w:ind w:right="289"/>
              <w:jc w:val="both"/>
              <w:rPr>
                <w:rFonts w:ascii="Arial" w:hAnsi="Arial" w:cs="Arial"/>
                <w:sz w:val="24"/>
              </w:rPr>
            </w:pPr>
            <w:r w:rsidRPr="00E7092D">
              <w:rPr>
                <w:rFonts w:ascii="Arial" w:hAnsi="Arial" w:cs="Arial"/>
                <w:sz w:val="24"/>
              </w:rPr>
              <w:t>7 –</w:t>
            </w:r>
            <w:r w:rsidR="00F03D02">
              <w:rPr>
                <w:rFonts w:ascii="Arial" w:hAnsi="Arial" w:cs="Arial"/>
                <w:sz w:val="24"/>
              </w:rPr>
              <w:t xml:space="preserve"> </w:t>
            </w:r>
            <w:r w:rsidRPr="00E7092D">
              <w:rPr>
                <w:rFonts w:ascii="Arial" w:hAnsi="Arial" w:cs="Arial"/>
                <w:sz w:val="24"/>
              </w:rPr>
              <w:t>Carrinho para transporte do cilindro com rodas emborrachadas e antiderrapante.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5E877" w14:textId="77777777" w:rsidR="00E97F6C" w:rsidRPr="00564F95" w:rsidRDefault="00E97F6C" w:rsidP="008053B6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564F95">
              <w:rPr>
                <w:rFonts w:ascii="Arial" w:hAnsi="Arial" w:cs="Arial"/>
                <w:bCs/>
                <w:sz w:val="24"/>
              </w:rPr>
              <w:t>Kit.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63D5CC" w14:textId="77777777" w:rsidR="00E97F6C" w:rsidRPr="00E7092D" w:rsidRDefault="00E97F6C" w:rsidP="00E7092D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3</w:t>
            </w:r>
            <w:r w:rsidRPr="00E7092D">
              <w:rPr>
                <w:rFonts w:ascii="Arial" w:hAnsi="Arial" w:cs="Arial"/>
                <w:bCs/>
                <w:sz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DF8A2" w14:textId="77777777" w:rsidR="00E97F6C" w:rsidRPr="00E7092D" w:rsidRDefault="00E97F6C" w:rsidP="00E97F6C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360</w:t>
            </w:r>
          </w:p>
        </w:tc>
      </w:tr>
      <w:tr w:rsidR="000B44D0" w:rsidRPr="00E7092D" w14:paraId="06AD932D" w14:textId="77777777" w:rsidTr="000B44D0">
        <w:trPr>
          <w:trHeight w:val="4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7C4A9" w14:textId="77777777" w:rsidR="00E97F6C" w:rsidRPr="00E7092D" w:rsidRDefault="00E97F6C" w:rsidP="00E7092D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E7092D">
              <w:rPr>
                <w:rFonts w:ascii="Arial" w:hAnsi="Arial" w:cs="Arial"/>
                <w:bCs/>
                <w:sz w:val="24"/>
              </w:rPr>
              <w:t>04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08E7D" w14:textId="787AAF05" w:rsidR="00E97F6C" w:rsidRPr="00E7092D" w:rsidRDefault="00E97F6C" w:rsidP="000B44D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630360">
              <w:rPr>
                <w:rFonts w:ascii="Arial" w:hAnsi="Arial" w:cs="Arial"/>
                <w:bCs/>
                <w:sz w:val="24"/>
                <w:szCs w:val="20"/>
              </w:rPr>
              <w:t xml:space="preserve">Fornecimento De Oxigênio Medicinal (O2) Na Quantidade Aproximada </w:t>
            </w:r>
            <w:r w:rsidR="000B44D0">
              <w:rPr>
                <w:rFonts w:ascii="Arial" w:hAnsi="Arial" w:cs="Arial"/>
                <w:bCs/>
                <w:sz w:val="24"/>
                <w:szCs w:val="20"/>
              </w:rPr>
              <w:t>de</w:t>
            </w:r>
            <w:r w:rsidRPr="00630360">
              <w:rPr>
                <w:rFonts w:ascii="Arial" w:hAnsi="Arial" w:cs="Arial"/>
                <w:bCs/>
                <w:sz w:val="24"/>
                <w:szCs w:val="20"/>
              </w:rPr>
              <w:t xml:space="preserve"> 36.000</w:t>
            </w:r>
            <w:r w:rsidR="00F03D02" w:rsidRPr="00630360">
              <w:rPr>
                <w:rFonts w:ascii="Arial" w:hAnsi="Arial" w:cs="Arial"/>
                <w:bCs/>
                <w:sz w:val="24"/>
                <w:szCs w:val="20"/>
              </w:rPr>
              <w:t>M³</w:t>
            </w:r>
            <w:r w:rsidR="00F03D02">
              <w:rPr>
                <w:rFonts w:ascii="Arial" w:hAnsi="Arial" w:cs="Arial"/>
                <w:bCs/>
                <w:sz w:val="24"/>
                <w:szCs w:val="20"/>
              </w:rPr>
              <w:t xml:space="preserve"> </w:t>
            </w:r>
            <w:r w:rsidRPr="00630360">
              <w:rPr>
                <w:rFonts w:ascii="Arial" w:hAnsi="Arial" w:cs="Arial"/>
                <w:bCs/>
                <w:sz w:val="24"/>
                <w:szCs w:val="20"/>
              </w:rPr>
              <w:t xml:space="preserve">(trinta e seis mil) </w:t>
            </w:r>
            <w:r w:rsidR="000B44D0">
              <w:rPr>
                <w:rFonts w:ascii="Arial" w:hAnsi="Arial" w:cs="Arial"/>
                <w:bCs/>
                <w:sz w:val="24"/>
                <w:szCs w:val="20"/>
              </w:rPr>
              <w:t>anuais</w:t>
            </w:r>
            <w:r w:rsidRPr="00630360">
              <w:rPr>
                <w:rFonts w:ascii="Arial" w:hAnsi="Arial" w:cs="Arial"/>
                <w:bCs/>
                <w:sz w:val="24"/>
                <w:szCs w:val="20"/>
              </w:rPr>
              <w:t>,</w:t>
            </w:r>
            <w:r w:rsidR="00F03D02">
              <w:rPr>
                <w:rFonts w:ascii="Arial" w:hAnsi="Arial" w:cs="Arial"/>
                <w:bCs/>
                <w:sz w:val="24"/>
                <w:szCs w:val="20"/>
              </w:rPr>
              <w:t xml:space="preserve"> </w:t>
            </w:r>
            <w:r w:rsidRPr="00630360">
              <w:rPr>
                <w:rFonts w:ascii="Arial" w:hAnsi="Arial" w:cs="Arial"/>
                <w:bCs/>
                <w:sz w:val="24"/>
                <w:szCs w:val="20"/>
              </w:rPr>
              <w:t>sendo 3.000</w:t>
            </w:r>
            <w:r w:rsidR="00F03D02" w:rsidRPr="00630360">
              <w:rPr>
                <w:rFonts w:ascii="Arial" w:hAnsi="Arial" w:cs="Arial"/>
                <w:bCs/>
                <w:sz w:val="24"/>
                <w:szCs w:val="20"/>
              </w:rPr>
              <w:t xml:space="preserve"> </w:t>
            </w:r>
            <w:r w:rsidR="00F03D02" w:rsidRPr="00630360">
              <w:rPr>
                <w:rFonts w:ascii="Arial" w:hAnsi="Arial" w:cs="Arial"/>
                <w:bCs/>
                <w:sz w:val="24"/>
                <w:szCs w:val="20"/>
              </w:rPr>
              <w:t>M³</w:t>
            </w:r>
            <w:r w:rsidR="00F03D02" w:rsidRPr="00630360">
              <w:rPr>
                <w:rFonts w:ascii="Arial" w:hAnsi="Arial" w:cs="Arial"/>
                <w:bCs/>
                <w:sz w:val="24"/>
                <w:szCs w:val="20"/>
              </w:rPr>
              <w:t xml:space="preserve"> </w:t>
            </w:r>
            <w:r w:rsidRPr="00630360">
              <w:rPr>
                <w:rFonts w:ascii="Arial" w:hAnsi="Arial" w:cs="Arial"/>
                <w:bCs/>
                <w:sz w:val="24"/>
                <w:szCs w:val="20"/>
              </w:rPr>
              <w:t>(</w:t>
            </w:r>
            <w:r w:rsidR="00F03D02" w:rsidRPr="00630360">
              <w:rPr>
                <w:rFonts w:ascii="Arial" w:hAnsi="Arial" w:cs="Arial"/>
                <w:bCs/>
                <w:sz w:val="24"/>
                <w:szCs w:val="20"/>
              </w:rPr>
              <w:t>três</w:t>
            </w:r>
            <w:r w:rsidR="00F03D02">
              <w:rPr>
                <w:rFonts w:ascii="Arial" w:hAnsi="Arial" w:cs="Arial"/>
                <w:bCs/>
                <w:sz w:val="24"/>
                <w:szCs w:val="20"/>
              </w:rPr>
              <w:t xml:space="preserve"> </w:t>
            </w:r>
            <w:r w:rsidRPr="00630360">
              <w:rPr>
                <w:rFonts w:ascii="Arial" w:hAnsi="Arial" w:cs="Arial"/>
                <w:bCs/>
                <w:sz w:val="24"/>
                <w:szCs w:val="20"/>
              </w:rPr>
              <w:t>mil) mensais</w:t>
            </w:r>
            <w:r w:rsidRPr="00A046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092D">
              <w:rPr>
                <w:rFonts w:ascii="Arial" w:hAnsi="Arial" w:cs="Arial"/>
                <w:bCs/>
                <w:sz w:val="24"/>
                <w:szCs w:val="20"/>
              </w:rPr>
              <w:t>para abastecimento e reabastecimento quando necessário dos cilindros de O2 da oxigenoterapia residencial citado no item 01, backup dos concentradores de O</w:t>
            </w:r>
            <w:r w:rsidRPr="00E7092D">
              <w:rPr>
                <w:rFonts w:ascii="Arial" w:hAnsi="Arial" w:cs="Arial"/>
                <w:bCs/>
                <w:sz w:val="24"/>
                <w:szCs w:val="20"/>
                <w:vertAlign w:val="subscript"/>
              </w:rPr>
              <w:t xml:space="preserve">2 </w:t>
            </w:r>
            <w:r w:rsidRPr="00E7092D">
              <w:rPr>
                <w:rFonts w:ascii="Arial" w:hAnsi="Arial" w:cs="Arial"/>
                <w:bCs/>
                <w:sz w:val="24"/>
                <w:szCs w:val="20"/>
              </w:rPr>
              <w:t>do item 02 e dos cilindros de O</w:t>
            </w:r>
            <w:r w:rsidRPr="00E7092D">
              <w:rPr>
                <w:rFonts w:ascii="Arial" w:hAnsi="Arial" w:cs="Arial"/>
                <w:bCs/>
                <w:sz w:val="24"/>
                <w:szCs w:val="20"/>
                <w:vertAlign w:val="subscript"/>
              </w:rPr>
              <w:t>2</w:t>
            </w:r>
            <w:r w:rsidRPr="00E7092D">
              <w:rPr>
                <w:rFonts w:ascii="Arial" w:hAnsi="Arial" w:cs="Arial"/>
                <w:bCs/>
                <w:sz w:val="24"/>
                <w:szCs w:val="20"/>
              </w:rPr>
              <w:t xml:space="preserve"> dos Kits portáteis do item 03.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73E6D" w14:textId="77777777" w:rsidR="00E97F6C" w:rsidRDefault="00E97F6C" w:rsidP="00E7092D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564F95">
              <w:rPr>
                <w:rFonts w:ascii="Arial" w:hAnsi="Arial" w:cs="Arial"/>
                <w:bCs/>
                <w:sz w:val="24"/>
              </w:rPr>
              <w:t>M³</w:t>
            </w:r>
          </w:p>
          <w:p w14:paraId="6882E6D0" w14:textId="77777777" w:rsidR="00E97F6C" w:rsidRDefault="00E97F6C" w:rsidP="00E7092D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  <w:p w14:paraId="00DDA64A" w14:textId="77777777" w:rsidR="00E97F6C" w:rsidRPr="008053B6" w:rsidRDefault="00E97F6C" w:rsidP="00E7092D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10780" w14:textId="77777777" w:rsidR="00E97F6C" w:rsidRPr="00E7092D" w:rsidRDefault="00E97F6C" w:rsidP="0063036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3.000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99032" w14:textId="77777777" w:rsidR="00E97F6C" w:rsidRPr="00E7092D" w:rsidRDefault="00E97F6C" w:rsidP="000B44D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36000</w:t>
            </w:r>
          </w:p>
        </w:tc>
      </w:tr>
    </w:tbl>
    <w:p w14:paraId="4BF3E3FD" w14:textId="77777777" w:rsidR="005F3720" w:rsidRDefault="005F3720" w:rsidP="00B33F81">
      <w:pPr>
        <w:pStyle w:val="Default"/>
        <w:spacing w:before="3"/>
        <w:rPr>
          <w:b/>
          <w:bCs/>
          <w:sz w:val="22"/>
          <w:szCs w:val="22"/>
        </w:rPr>
      </w:pPr>
    </w:p>
    <w:p w14:paraId="667E350D" w14:textId="77777777" w:rsidR="00B33F81" w:rsidRPr="0075271B" w:rsidRDefault="00B33F81" w:rsidP="00B33F81">
      <w:pPr>
        <w:pStyle w:val="Default"/>
        <w:spacing w:before="3"/>
        <w:rPr>
          <w:sz w:val="22"/>
          <w:szCs w:val="22"/>
        </w:rPr>
      </w:pPr>
      <w:r w:rsidRPr="0075271B">
        <w:rPr>
          <w:b/>
          <w:bCs/>
          <w:sz w:val="22"/>
          <w:szCs w:val="22"/>
        </w:rPr>
        <w:t xml:space="preserve">4.4. Das Amostras: </w:t>
      </w:r>
    </w:p>
    <w:p w14:paraId="12C63341" w14:textId="77777777" w:rsidR="00B33F81" w:rsidRPr="0075271B" w:rsidRDefault="00B33F81" w:rsidP="00745019">
      <w:pPr>
        <w:spacing w:before="120" w:line="276" w:lineRule="auto"/>
        <w:ind w:firstLine="709"/>
        <w:rPr>
          <w:rFonts w:ascii="Arial" w:hAnsi="Arial" w:cs="Arial"/>
          <w:sz w:val="22"/>
          <w:highlight w:val="yellow"/>
        </w:rPr>
      </w:pPr>
      <w:r w:rsidRPr="0075271B">
        <w:rPr>
          <w:rFonts w:ascii="Arial" w:hAnsi="Arial" w:cs="Arial"/>
          <w:sz w:val="24"/>
          <w:szCs w:val="22"/>
        </w:rPr>
        <w:t xml:space="preserve">Os licitantes deverão enviar </w:t>
      </w:r>
      <w:r w:rsidR="003B4084" w:rsidRPr="0075271B">
        <w:rPr>
          <w:rFonts w:ascii="Arial" w:hAnsi="Arial" w:cs="Arial"/>
          <w:sz w:val="24"/>
          <w:szCs w:val="22"/>
        </w:rPr>
        <w:t>folders ou prospectos</w:t>
      </w:r>
      <w:r w:rsidRPr="0075271B">
        <w:rPr>
          <w:rFonts w:ascii="Arial" w:hAnsi="Arial" w:cs="Arial"/>
          <w:sz w:val="24"/>
          <w:szCs w:val="22"/>
        </w:rPr>
        <w:t xml:space="preserve"> dos insumos devidamente identificadas, para serem analisadas pela Secretaria de Saúde. </w:t>
      </w:r>
    </w:p>
    <w:p w14:paraId="58A8FDEF" w14:textId="77777777" w:rsidR="00B33F81" w:rsidRPr="00B33F81" w:rsidRDefault="00A00E5D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751DF">
        <w:rPr>
          <w:rFonts w:asciiTheme="minorHAnsi" w:hAnsiTheme="minorHAnsi" w:cstheme="minorHAnsi"/>
          <w:b/>
          <w:sz w:val="22"/>
          <w:szCs w:val="22"/>
        </w:rPr>
        <w:t>5. CONDIÇÕES DE PAGAMENTO:</w:t>
      </w:r>
    </w:p>
    <w:p w14:paraId="662291F0" w14:textId="77777777" w:rsidR="00CA10A5" w:rsidRPr="0075271B" w:rsidRDefault="00A00E5D" w:rsidP="00745019">
      <w:pPr>
        <w:spacing w:after="120" w:line="276" w:lineRule="auto"/>
        <w:ind w:firstLine="567"/>
        <w:jc w:val="both"/>
        <w:rPr>
          <w:rFonts w:asciiTheme="minorHAnsi" w:hAnsiTheme="minorHAnsi" w:cstheme="minorHAnsi"/>
          <w:sz w:val="24"/>
          <w:szCs w:val="22"/>
        </w:rPr>
      </w:pPr>
      <w:r w:rsidRPr="0075271B">
        <w:rPr>
          <w:rFonts w:asciiTheme="minorHAnsi" w:hAnsiTheme="minorHAnsi" w:cstheme="minorHAnsi"/>
          <w:sz w:val="24"/>
          <w:szCs w:val="22"/>
        </w:rPr>
        <w:t xml:space="preserve">Os pagamentos serão efetuados em </w:t>
      </w:r>
      <w:r w:rsidRPr="0075271B">
        <w:rPr>
          <w:rFonts w:asciiTheme="minorHAnsi" w:hAnsiTheme="minorHAnsi" w:cstheme="minorHAnsi"/>
          <w:b/>
          <w:bCs/>
          <w:sz w:val="24"/>
          <w:szCs w:val="22"/>
        </w:rPr>
        <w:t>30 (trinta) dias</w:t>
      </w:r>
      <w:r w:rsidRPr="0075271B">
        <w:rPr>
          <w:rFonts w:asciiTheme="minorHAnsi" w:hAnsiTheme="minorHAnsi" w:cstheme="minorHAnsi"/>
          <w:sz w:val="24"/>
          <w:szCs w:val="22"/>
        </w:rPr>
        <w:t xml:space="preserve"> após o aceite definitivo do objeto, contados do adimplemento das obrigações contratuais.</w:t>
      </w:r>
    </w:p>
    <w:p w14:paraId="57459567" w14:textId="77777777" w:rsidR="00CA10A5" w:rsidRPr="00D751DF" w:rsidRDefault="00A00E5D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D751DF">
        <w:rPr>
          <w:rFonts w:asciiTheme="minorHAnsi" w:hAnsiTheme="minorHAnsi" w:cstheme="minorHAnsi"/>
          <w:b/>
          <w:sz w:val="22"/>
          <w:szCs w:val="22"/>
        </w:rPr>
        <w:t>6. CONDIÇÕES DO RECEBIMENTO DO OBJETO:</w:t>
      </w:r>
    </w:p>
    <w:p w14:paraId="23817BDE" w14:textId="77777777" w:rsidR="00CA10A5" w:rsidRPr="0075271B" w:rsidRDefault="00A00E5D" w:rsidP="00745019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</w:rPr>
      </w:pPr>
      <w:r w:rsidRPr="0075271B">
        <w:rPr>
          <w:rFonts w:asciiTheme="minorHAnsi" w:hAnsiTheme="minorHAnsi" w:cstheme="minorHAnsi"/>
          <w:sz w:val="24"/>
        </w:rPr>
        <w:t>O recebimento provisório do objeto do contrato será feito no ato da entrega dos insumos e/ou da prestação dos serviços.</w:t>
      </w:r>
    </w:p>
    <w:p w14:paraId="3979B942" w14:textId="77777777" w:rsidR="00CA10A5" w:rsidRPr="0075271B" w:rsidRDefault="00A00E5D" w:rsidP="00745019">
      <w:pPr>
        <w:pStyle w:val="PargrafodaLista"/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  <w:sz w:val="24"/>
        </w:rPr>
      </w:pPr>
      <w:r w:rsidRPr="0075271B">
        <w:rPr>
          <w:rFonts w:asciiTheme="minorHAnsi" w:hAnsiTheme="minorHAnsi" w:cstheme="minorHAnsi"/>
          <w:sz w:val="24"/>
        </w:rPr>
        <w:t>O recebimento definitivo será efetuado por servidor(es) designado(s),</w:t>
      </w:r>
      <w:r w:rsidRPr="0075271B">
        <w:rPr>
          <w:rFonts w:asciiTheme="minorHAnsi" w:hAnsiTheme="minorHAnsi" w:cstheme="minorHAnsi"/>
          <w:b/>
          <w:bCs/>
          <w:sz w:val="24"/>
        </w:rPr>
        <w:t xml:space="preserve"> mediante ateste</w:t>
      </w:r>
      <w:r w:rsidRPr="0075271B">
        <w:rPr>
          <w:rFonts w:asciiTheme="minorHAnsi" w:hAnsiTheme="minorHAnsi" w:cstheme="minorHAnsi"/>
          <w:sz w:val="24"/>
        </w:rPr>
        <w:t>, conforme artigo 140 inciso I alínea “b” e inciso II alínea “b” da Lei 14.133/2021.</w:t>
      </w:r>
    </w:p>
    <w:p w14:paraId="0DC4E901" w14:textId="77777777" w:rsidR="00CA10A5" w:rsidRPr="00D751DF" w:rsidRDefault="00A00E5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751DF">
        <w:rPr>
          <w:rFonts w:asciiTheme="minorHAnsi" w:hAnsiTheme="minorHAnsi" w:cstheme="minorHAnsi"/>
          <w:b/>
          <w:sz w:val="22"/>
          <w:szCs w:val="22"/>
        </w:rPr>
        <w:t>7. SANÇÕES PELO INADIMPLEMENTO:</w:t>
      </w:r>
    </w:p>
    <w:p w14:paraId="562B7E8A" w14:textId="77777777" w:rsidR="00CA10A5" w:rsidRPr="0075271B" w:rsidRDefault="00A00E5D" w:rsidP="00745019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2"/>
        </w:rPr>
      </w:pPr>
      <w:r w:rsidRPr="0075271B">
        <w:rPr>
          <w:rFonts w:asciiTheme="minorHAnsi" w:hAnsiTheme="minorHAnsi" w:cstheme="minorHAnsi"/>
          <w:b/>
          <w:sz w:val="24"/>
          <w:szCs w:val="22"/>
        </w:rPr>
        <w:tab/>
      </w:r>
      <w:r w:rsidRPr="0075271B">
        <w:rPr>
          <w:rFonts w:asciiTheme="minorHAnsi" w:hAnsiTheme="minorHAnsi" w:cstheme="minorHAnsi"/>
          <w:sz w:val="24"/>
          <w:szCs w:val="22"/>
        </w:rPr>
        <w:t>Pelo inadimplemento total ou parcial na execução do objeto, o contratado sujeitar-se-á às seguintes sanções:</w:t>
      </w:r>
    </w:p>
    <w:p w14:paraId="5DA2504B" w14:textId="77777777" w:rsidR="00CA10A5" w:rsidRPr="0075271B" w:rsidRDefault="00A00E5D" w:rsidP="00745019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</w:rPr>
      </w:pPr>
      <w:r w:rsidRPr="0075271B">
        <w:rPr>
          <w:rFonts w:asciiTheme="minorHAnsi" w:hAnsiTheme="minorHAnsi" w:cstheme="minorHAnsi"/>
          <w:sz w:val="24"/>
        </w:rPr>
        <w:t>Multa de 20% (vinte por cento) do valor global atualizado do objeto da contratação;</w:t>
      </w:r>
    </w:p>
    <w:p w14:paraId="36EF371F" w14:textId="77777777" w:rsidR="00CA10A5" w:rsidRPr="0075271B" w:rsidRDefault="00A00E5D" w:rsidP="00745019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</w:rPr>
      </w:pPr>
      <w:r w:rsidRPr="0075271B">
        <w:rPr>
          <w:rFonts w:asciiTheme="minorHAnsi" w:hAnsiTheme="minorHAnsi" w:cstheme="minorHAnsi"/>
          <w:sz w:val="24"/>
        </w:rPr>
        <w:t>Suspensão temporária de participação em licitação e impedimento de contratar com a Administração pelo prazo de 02 (dois) anos;</w:t>
      </w:r>
    </w:p>
    <w:p w14:paraId="12226CFE" w14:textId="77777777" w:rsidR="00CA10A5" w:rsidRPr="0075271B" w:rsidRDefault="00A00E5D" w:rsidP="00745019">
      <w:pPr>
        <w:pStyle w:val="PargrafodaLista"/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  <w:sz w:val="24"/>
        </w:rPr>
      </w:pPr>
      <w:r w:rsidRPr="0075271B">
        <w:rPr>
          <w:rFonts w:asciiTheme="minorHAnsi" w:hAnsiTheme="minorHAnsi" w:cstheme="minorHAnsi"/>
          <w:sz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4DBBFFC0" w14:textId="77777777" w:rsidR="00CA10A5" w:rsidRPr="0075271B" w:rsidRDefault="00A00E5D" w:rsidP="00745019">
      <w:pPr>
        <w:pStyle w:val="PargrafodaLista"/>
        <w:spacing w:after="120"/>
        <w:ind w:left="0" w:firstLine="709"/>
        <w:jc w:val="both"/>
        <w:rPr>
          <w:rFonts w:asciiTheme="minorHAnsi" w:hAnsiTheme="minorHAnsi" w:cstheme="minorHAnsi"/>
          <w:sz w:val="24"/>
        </w:rPr>
      </w:pPr>
      <w:r w:rsidRPr="0075271B">
        <w:rPr>
          <w:rFonts w:asciiTheme="minorHAnsi" w:hAnsiTheme="minorHAnsi" w:cstheme="minorHAnsi"/>
          <w:sz w:val="24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404F3A6C" w14:textId="77777777" w:rsidR="00CA10A5" w:rsidRPr="00D751DF" w:rsidRDefault="00A00E5D">
      <w:pPr>
        <w:spacing w:after="120" w:line="276" w:lineRule="auto"/>
        <w:rPr>
          <w:rFonts w:asciiTheme="minorHAnsi" w:hAnsiTheme="minorHAnsi" w:cstheme="minorHAnsi"/>
          <w:b/>
          <w:color w:val="000000"/>
        </w:rPr>
      </w:pPr>
      <w:r w:rsidRPr="00D751DF">
        <w:rPr>
          <w:rFonts w:asciiTheme="minorHAnsi" w:hAnsiTheme="minorHAnsi" w:cstheme="minorHAnsi"/>
          <w:b/>
          <w:color w:val="000000"/>
          <w:sz w:val="22"/>
          <w:szCs w:val="22"/>
        </w:rPr>
        <w:t>8. DA DOTAÇÃO ORÇAMENTARIA:</w:t>
      </w:r>
    </w:p>
    <w:p w14:paraId="3A811AA0" w14:textId="37D11C7C" w:rsidR="00CA10A5" w:rsidRPr="00745019" w:rsidRDefault="00D751DF" w:rsidP="00745019">
      <w:pPr>
        <w:pStyle w:val="PargrafodaLista"/>
        <w:spacing w:after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745019">
        <w:rPr>
          <w:rFonts w:ascii="Arial" w:hAnsi="Arial" w:cs="Arial"/>
          <w:sz w:val="24"/>
          <w:szCs w:val="24"/>
        </w:rPr>
        <w:t>Os recursos para a execução da contrat</w:t>
      </w:r>
      <w:r w:rsidR="00B33F81" w:rsidRPr="00745019">
        <w:rPr>
          <w:rFonts w:ascii="Arial" w:hAnsi="Arial" w:cs="Arial"/>
          <w:sz w:val="24"/>
          <w:szCs w:val="24"/>
        </w:rPr>
        <w:t>ação serão pr</w:t>
      </w:r>
      <w:r w:rsidR="00F03D02">
        <w:rPr>
          <w:rFonts w:ascii="Arial" w:hAnsi="Arial" w:cs="Arial"/>
          <w:sz w:val="24"/>
          <w:szCs w:val="24"/>
        </w:rPr>
        <w:t>o</w:t>
      </w:r>
      <w:r w:rsidR="00B33F81" w:rsidRPr="00745019">
        <w:rPr>
          <w:rFonts w:ascii="Arial" w:hAnsi="Arial" w:cs="Arial"/>
          <w:sz w:val="24"/>
          <w:szCs w:val="24"/>
        </w:rPr>
        <w:t xml:space="preserve">venientes da </w:t>
      </w:r>
      <w:r w:rsidR="00E7092D" w:rsidRPr="00745019">
        <w:rPr>
          <w:rFonts w:ascii="Arial" w:hAnsi="Arial" w:cs="Arial"/>
          <w:sz w:val="24"/>
          <w:szCs w:val="24"/>
        </w:rPr>
        <w:t>Fonte 1600.35 (conforme nota de empenho 70 de 01/01/2023, referente ao processo anterio</w:t>
      </w:r>
      <w:r w:rsidR="00F03D02">
        <w:rPr>
          <w:rFonts w:ascii="Arial" w:hAnsi="Arial" w:cs="Arial"/>
          <w:sz w:val="24"/>
          <w:szCs w:val="24"/>
        </w:rPr>
        <w:t>r</w:t>
      </w:r>
      <w:r w:rsidR="00E7092D" w:rsidRPr="00745019">
        <w:rPr>
          <w:rFonts w:ascii="Arial" w:hAnsi="Arial" w:cs="Arial"/>
          <w:sz w:val="24"/>
          <w:szCs w:val="24"/>
        </w:rPr>
        <w:t xml:space="preserve"> 48077/2019)</w:t>
      </w:r>
    </w:p>
    <w:p w14:paraId="05E73A5B" w14:textId="77777777" w:rsidR="00CA10A5" w:rsidRPr="00D751DF" w:rsidRDefault="00A00E5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51DF">
        <w:rPr>
          <w:rFonts w:asciiTheme="minorHAnsi" w:hAnsiTheme="minorHAnsi" w:cstheme="minorHAnsi"/>
          <w:b/>
          <w:sz w:val="22"/>
          <w:szCs w:val="22"/>
        </w:rPr>
        <w:t>9. OBRIGAÇOES DA CONTRATADA:</w:t>
      </w:r>
    </w:p>
    <w:p w14:paraId="12B65A73" w14:textId="77777777" w:rsidR="00CA10A5" w:rsidRPr="0075271B" w:rsidRDefault="00A00E5D" w:rsidP="00745019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</w:rPr>
      </w:pPr>
      <w:r w:rsidRPr="0075271B">
        <w:rPr>
          <w:rFonts w:asciiTheme="minorHAnsi" w:hAnsiTheme="minorHAnsi" w:cstheme="minorHAnsi"/>
          <w:color w:val="000000"/>
          <w:sz w:val="24"/>
          <w:lang w:eastAsia="pt-BR"/>
        </w:rPr>
        <w:t>Executar fielmente o contrato, de acordo com o presente documento;</w:t>
      </w:r>
    </w:p>
    <w:p w14:paraId="78B8B9C0" w14:textId="77777777" w:rsidR="00CA10A5" w:rsidRPr="0075271B" w:rsidRDefault="00A00E5D" w:rsidP="00745019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</w:rPr>
      </w:pPr>
      <w:r w:rsidRPr="0075271B">
        <w:rPr>
          <w:rFonts w:asciiTheme="minorHAnsi" w:hAnsiTheme="minorHAnsi" w:cstheme="minorHAnsi"/>
          <w:sz w:val="24"/>
        </w:rPr>
        <w:t>Manter, durante todo o prazo de entrega/execução do objeto, todas as condições de habilitação e qualificação exigidas;</w:t>
      </w:r>
    </w:p>
    <w:p w14:paraId="61BB01FE" w14:textId="77777777" w:rsidR="00CA10A5" w:rsidRPr="00E7092D" w:rsidRDefault="00A00E5D" w:rsidP="00745019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</w:rPr>
      </w:pPr>
      <w:r w:rsidRPr="0075271B">
        <w:rPr>
          <w:rFonts w:asciiTheme="minorHAnsi" w:hAnsiTheme="minorHAnsi" w:cstheme="minorHAnsi"/>
          <w:color w:val="000000"/>
          <w:sz w:val="24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5E48683B" w14:textId="77777777" w:rsidR="00E7092D" w:rsidRPr="00E7092D" w:rsidRDefault="00E7092D" w:rsidP="00745019">
      <w:pPr>
        <w:pStyle w:val="PargrafodaLista"/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  <w:sz w:val="24"/>
        </w:rPr>
      </w:pPr>
      <w:r w:rsidRPr="00E7092D">
        <w:rPr>
          <w:rFonts w:asciiTheme="minorHAnsi" w:hAnsiTheme="minorHAnsi" w:cstheme="minorHAnsi"/>
          <w:sz w:val="24"/>
        </w:rPr>
        <w:lastRenderedPageBreak/>
        <w:t>A entrega dos aparelhos ou execução dos serviços técnicos deverá será executada com a solicitação do Responsável pela oxigenoterapia da Superintendência de Atenção à Saúde,</w:t>
      </w:r>
    </w:p>
    <w:p w14:paraId="1AD37C0C" w14:textId="77777777" w:rsidR="00E7092D" w:rsidRDefault="00E7092D" w:rsidP="00745019">
      <w:pPr>
        <w:pStyle w:val="PargrafodaLista"/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  <w:sz w:val="24"/>
        </w:rPr>
      </w:pPr>
      <w:r w:rsidRPr="00E7092D">
        <w:rPr>
          <w:rFonts w:asciiTheme="minorHAnsi" w:hAnsiTheme="minorHAnsi" w:cstheme="minorHAnsi"/>
          <w:sz w:val="24"/>
        </w:rPr>
        <w:t>A Solicitação de serviços técnicos também poderá ser solicitada pelo pacient</w:t>
      </w:r>
      <w:r w:rsidR="007450B4">
        <w:rPr>
          <w:rFonts w:asciiTheme="minorHAnsi" w:hAnsiTheme="minorHAnsi" w:cstheme="minorHAnsi"/>
          <w:sz w:val="24"/>
        </w:rPr>
        <w:t xml:space="preserve">e com a base já instalada, </w:t>
      </w:r>
      <w:r w:rsidRPr="00E7092D">
        <w:rPr>
          <w:rFonts w:asciiTheme="minorHAnsi" w:hAnsiTheme="minorHAnsi" w:cstheme="minorHAnsi"/>
          <w:sz w:val="24"/>
        </w:rPr>
        <w:t>dever</w:t>
      </w:r>
      <w:r w:rsidR="007450B4">
        <w:rPr>
          <w:rFonts w:asciiTheme="minorHAnsi" w:hAnsiTheme="minorHAnsi" w:cstheme="minorHAnsi"/>
          <w:sz w:val="24"/>
        </w:rPr>
        <w:t>á</w:t>
      </w:r>
      <w:r w:rsidRPr="00E7092D">
        <w:rPr>
          <w:rFonts w:asciiTheme="minorHAnsi" w:hAnsiTheme="minorHAnsi" w:cstheme="minorHAnsi"/>
          <w:sz w:val="24"/>
        </w:rPr>
        <w:t xml:space="preserve"> ser atendidas em até </w:t>
      </w:r>
      <w:r w:rsidR="009825BA">
        <w:rPr>
          <w:rFonts w:asciiTheme="minorHAnsi" w:hAnsiTheme="minorHAnsi" w:cstheme="minorHAnsi"/>
          <w:sz w:val="24"/>
        </w:rPr>
        <w:t>24</w:t>
      </w:r>
      <w:r w:rsidRPr="00E7092D">
        <w:rPr>
          <w:rFonts w:asciiTheme="minorHAnsi" w:hAnsiTheme="minorHAnsi" w:cstheme="minorHAnsi"/>
          <w:sz w:val="24"/>
        </w:rPr>
        <w:t>(</w:t>
      </w:r>
      <w:r w:rsidR="009825BA">
        <w:rPr>
          <w:rFonts w:asciiTheme="minorHAnsi" w:hAnsiTheme="minorHAnsi" w:cstheme="minorHAnsi"/>
          <w:sz w:val="24"/>
        </w:rPr>
        <w:t>vinte e quatro</w:t>
      </w:r>
      <w:r w:rsidRPr="00E7092D">
        <w:rPr>
          <w:rFonts w:asciiTheme="minorHAnsi" w:hAnsiTheme="minorHAnsi" w:cstheme="minorHAnsi"/>
          <w:sz w:val="24"/>
        </w:rPr>
        <w:t>) horas a contar da data da solicitação.</w:t>
      </w:r>
    </w:p>
    <w:p w14:paraId="3E4A9F51" w14:textId="77777777" w:rsidR="00A26204" w:rsidRDefault="00A26204" w:rsidP="00745019">
      <w:pPr>
        <w:pStyle w:val="PargrafodaLista"/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Em caso de </w:t>
      </w:r>
      <w:r w:rsidR="007450B4">
        <w:rPr>
          <w:rFonts w:asciiTheme="minorHAnsi" w:hAnsiTheme="minorHAnsi" w:cstheme="minorHAnsi"/>
          <w:sz w:val="24"/>
        </w:rPr>
        <w:t>desospitalização</w:t>
      </w:r>
      <w:r>
        <w:rPr>
          <w:rFonts w:asciiTheme="minorHAnsi" w:hAnsiTheme="minorHAnsi" w:cstheme="minorHAnsi"/>
          <w:sz w:val="24"/>
        </w:rPr>
        <w:t xml:space="preserve">, informada pelo responsável </w:t>
      </w:r>
      <w:r w:rsidRPr="00E7092D">
        <w:rPr>
          <w:rFonts w:asciiTheme="minorHAnsi" w:hAnsiTheme="minorHAnsi" w:cstheme="minorHAnsi"/>
          <w:sz w:val="24"/>
        </w:rPr>
        <w:t>pela oxigenoterapia da Supe</w:t>
      </w:r>
      <w:r>
        <w:rPr>
          <w:rFonts w:asciiTheme="minorHAnsi" w:hAnsiTheme="minorHAnsi" w:cstheme="minorHAnsi"/>
          <w:sz w:val="24"/>
        </w:rPr>
        <w:t>rinten</w:t>
      </w:r>
      <w:r w:rsidR="007450B4">
        <w:rPr>
          <w:rFonts w:asciiTheme="minorHAnsi" w:hAnsiTheme="minorHAnsi" w:cstheme="minorHAnsi"/>
          <w:sz w:val="24"/>
        </w:rPr>
        <w:t>dência de Atenção à Saúde, o contratante terá até 24</w:t>
      </w:r>
      <w:r>
        <w:rPr>
          <w:rFonts w:asciiTheme="minorHAnsi" w:hAnsiTheme="minorHAnsi" w:cstheme="minorHAnsi"/>
          <w:sz w:val="24"/>
        </w:rPr>
        <w:t xml:space="preserve"> (</w:t>
      </w:r>
      <w:r w:rsidR="007450B4">
        <w:rPr>
          <w:rFonts w:asciiTheme="minorHAnsi" w:hAnsiTheme="minorHAnsi" w:cstheme="minorHAnsi"/>
          <w:sz w:val="24"/>
        </w:rPr>
        <w:t>vinte e quatro</w:t>
      </w:r>
      <w:r>
        <w:rPr>
          <w:rFonts w:asciiTheme="minorHAnsi" w:hAnsiTheme="minorHAnsi" w:cstheme="minorHAnsi"/>
          <w:sz w:val="24"/>
        </w:rPr>
        <w:t xml:space="preserve">) horas, </w:t>
      </w:r>
      <w:r w:rsidR="007450B4">
        <w:rPr>
          <w:rFonts w:asciiTheme="minorHAnsi" w:hAnsiTheme="minorHAnsi" w:cstheme="minorHAnsi"/>
          <w:sz w:val="24"/>
        </w:rPr>
        <w:t>para atendimento da solicitação de aplicação.</w:t>
      </w:r>
    </w:p>
    <w:p w14:paraId="4FCEC0CA" w14:textId="48C5F950" w:rsidR="009825BA" w:rsidRPr="00E7092D" w:rsidRDefault="009825BA" w:rsidP="00745019">
      <w:pPr>
        <w:pStyle w:val="PargrafodaLista"/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Toda </w:t>
      </w:r>
      <w:r w:rsidR="007450B4">
        <w:rPr>
          <w:rFonts w:asciiTheme="minorHAnsi" w:hAnsiTheme="minorHAnsi" w:cstheme="minorHAnsi"/>
          <w:sz w:val="24"/>
        </w:rPr>
        <w:t>aplicação</w:t>
      </w:r>
      <w:r>
        <w:rPr>
          <w:rFonts w:asciiTheme="minorHAnsi" w:hAnsiTheme="minorHAnsi" w:cstheme="minorHAnsi"/>
          <w:sz w:val="24"/>
        </w:rPr>
        <w:t xml:space="preserve"> de recarga de oxigênio, </w:t>
      </w:r>
      <w:r w:rsidR="007450B4">
        <w:rPr>
          <w:rFonts w:asciiTheme="minorHAnsi" w:hAnsiTheme="minorHAnsi" w:cstheme="minorHAnsi"/>
          <w:sz w:val="24"/>
        </w:rPr>
        <w:t>deve ser comprovada, acompanhada de assinatura do paciente ou respo</w:t>
      </w:r>
      <w:r w:rsidR="00F03D02">
        <w:rPr>
          <w:rFonts w:asciiTheme="minorHAnsi" w:hAnsiTheme="minorHAnsi" w:cstheme="minorHAnsi"/>
          <w:sz w:val="24"/>
        </w:rPr>
        <w:t>n</w:t>
      </w:r>
      <w:r w:rsidR="007450B4">
        <w:rPr>
          <w:rFonts w:asciiTheme="minorHAnsi" w:hAnsiTheme="minorHAnsi" w:cstheme="minorHAnsi"/>
          <w:sz w:val="24"/>
        </w:rPr>
        <w:t>sável (com grau de parentesco comprovado ou vínculo empregatício) e número de documento. Todos os comprovante</w:t>
      </w:r>
      <w:r w:rsidR="00F03D02">
        <w:rPr>
          <w:rFonts w:asciiTheme="minorHAnsi" w:hAnsiTheme="minorHAnsi" w:cstheme="minorHAnsi"/>
          <w:sz w:val="24"/>
        </w:rPr>
        <w:t>s</w:t>
      </w:r>
      <w:r w:rsidR="007450B4">
        <w:rPr>
          <w:rFonts w:asciiTheme="minorHAnsi" w:hAnsiTheme="minorHAnsi" w:cstheme="minorHAnsi"/>
          <w:sz w:val="24"/>
        </w:rPr>
        <w:t xml:space="preserve"> deverão ser enviado</w:t>
      </w:r>
      <w:r w:rsidR="00F03D02">
        <w:rPr>
          <w:rFonts w:asciiTheme="minorHAnsi" w:hAnsiTheme="minorHAnsi" w:cstheme="minorHAnsi"/>
          <w:sz w:val="24"/>
        </w:rPr>
        <w:t>s</w:t>
      </w:r>
      <w:r w:rsidR="007450B4">
        <w:rPr>
          <w:rFonts w:asciiTheme="minorHAnsi" w:hAnsiTheme="minorHAnsi" w:cstheme="minorHAnsi"/>
          <w:sz w:val="24"/>
        </w:rPr>
        <w:t xml:space="preserve"> ao e</w:t>
      </w:r>
      <w:r w:rsidR="00F03D02">
        <w:rPr>
          <w:rFonts w:asciiTheme="minorHAnsi" w:hAnsiTheme="minorHAnsi" w:cstheme="minorHAnsi"/>
          <w:sz w:val="24"/>
        </w:rPr>
        <w:t>-</w:t>
      </w:r>
      <w:r w:rsidR="007450B4">
        <w:rPr>
          <w:rFonts w:asciiTheme="minorHAnsi" w:hAnsiTheme="minorHAnsi" w:cstheme="minorHAnsi"/>
          <w:sz w:val="24"/>
        </w:rPr>
        <w:t>mail da Superintendência de Atenção à Saúde.</w:t>
      </w:r>
    </w:p>
    <w:p w14:paraId="49C6E178" w14:textId="77777777" w:rsidR="00CA10A5" w:rsidRPr="00D751DF" w:rsidRDefault="00A00E5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751DF">
        <w:rPr>
          <w:rFonts w:asciiTheme="minorHAnsi" w:hAnsiTheme="minorHAnsi" w:cstheme="minorHAnsi"/>
          <w:b/>
          <w:color w:val="000000"/>
          <w:sz w:val="22"/>
          <w:szCs w:val="22"/>
        </w:rPr>
        <w:t>10. OBRIGAÇÕES DO CONTRATANTE:</w:t>
      </w:r>
    </w:p>
    <w:p w14:paraId="6DC49B7F" w14:textId="77777777" w:rsidR="00CA10A5" w:rsidRPr="00D751DF" w:rsidRDefault="00CA10A5" w:rsidP="00745019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14:paraId="2A8E4E59" w14:textId="77777777" w:rsidR="00CA10A5" w:rsidRPr="0075271B" w:rsidRDefault="00A00E5D" w:rsidP="00745019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</w:rPr>
      </w:pPr>
      <w:r w:rsidRPr="0075271B">
        <w:rPr>
          <w:rFonts w:asciiTheme="minorHAnsi" w:hAnsiTheme="minorHAnsi" w:cstheme="minorHAnsi"/>
          <w:color w:val="000000"/>
          <w:sz w:val="24"/>
          <w:lang w:eastAsia="pt-BR"/>
        </w:rPr>
        <w:t>Acompanhar e fiscalizar a execução do contrato por representante(s) especialmente designado(s), nos termos do art. 117 da Lei nº 14.133/2021;</w:t>
      </w:r>
    </w:p>
    <w:p w14:paraId="306085DF" w14:textId="77777777" w:rsidR="00CA10A5" w:rsidRPr="0075271B" w:rsidRDefault="00A00E5D" w:rsidP="00745019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</w:rPr>
      </w:pPr>
      <w:r w:rsidRPr="0075271B">
        <w:rPr>
          <w:rFonts w:asciiTheme="minorHAnsi" w:hAnsiTheme="minorHAnsi" w:cstheme="minorHAnsi"/>
          <w:color w:val="000000"/>
          <w:sz w:val="24"/>
          <w:lang w:eastAsia="pt-BR"/>
        </w:rPr>
        <w:t>Rejeitar, no todo ou em parte, produto/serviço em desacordo com este Termo de Referência;</w:t>
      </w:r>
    </w:p>
    <w:p w14:paraId="01FC982D" w14:textId="77777777" w:rsidR="00CA10A5" w:rsidRPr="0075271B" w:rsidRDefault="00A00E5D" w:rsidP="00745019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</w:rPr>
      </w:pPr>
      <w:r w:rsidRPr="0075271B">
        <w:rPr>
          <w:rFonts w:asciiTheme="minorHAnsi" w:hAnsiTheme="minorHAnsi" w:cstheme="minorHAnsi"/>
          <w:color w:val="000000"/>
          <w:sz w:val="24"/>
          <w:lang w:eastAsia="pt-BR"/>
        </w:rPr>
        <w:t>Realizar o pagamento ao contrato, na forma e no prazo pactuado;</w:t>
      </w:r>
    </w:p>
    <w:p w14:paraId="5266B9DB" w14:textId="77777777" w:rsidR="00CA10A5" w:rsidRPr="0075271B" w:rsidRDefault="00A00E5D" w:rsidP="00745019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</w:rPr>
      </w:pPr>
      <w:r w:rsidRPr="0075271B">
        <w:rPr>
          <w:rFonts w:asciiTheme="minorHAnsi" w:hAnsiTheme="minorHAnsi" w:cstheme="minorHAnsi"/>
          <w:color w:val="000000"/>
          <w:sz w:val="24"/>
          <w:lang w:eastAsia="pt-BR"/>
        </w:rPr>
        <w:t xml:space="preserve">Proporcionar todas as condições necessárias ao bom andamento da entrega/execução do objeto; </w:t>
      </w:r>
    </w:p>
    <w:p w14:paraId="49F4F9A7" w14:textId="77777777" w:rsidR="00CA10A5" w:rsidRPr="0075271B" w:rsidRDefault="00A00E5D" w:rsidP="00745019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</w:rPr>
      </w:pPr>
      <w:r w:rsidRPr="0075271B">
        <w:rPr>
          <w:rFonts w:asciiTheme="minorHAnsi" w:hAnsiTheme="minorHAnsi" w:cstheme="minorHAnsi"/>
          <w:color w:val="000000"/>
          <w:sz w:val="24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561A4625" w14:textId="77777777" w:rsidR="00CA10A5" w:rsidRPr="0075271B" w:rsidRDefault="00A00E5D" w:rsidP="00745019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</w:rPr>
      </w:pPr>
      <w:r w:rsidRPr="0075271B">
        <w:rPr>
          <w:rFonts w:asciiTheme="minorHAnsi" w:hAnsiTheme="minorHAnsi" w:cstheme="minorHAnsi"/>
          <w:color w:val="000000"/>
          <w:sz w:val="24"/>
          <w:lang w:eastAsia="pt-BR"/>
        </w:rPr>
        <w:t>Notificar, por escrito, à contratada, a disposição de aplicação de eventuais penalidades, garantido o contraditório e a ampla defesa.</w:t>
      </w:r>
    </w:p>
    <w:p w14:paraId="4901E869" w14:textId="77777777" w:rsidR="00CA10A5" w:rsidRPr="00D751DF" w:rsidRDefault="00A00E5D">
      <w:pPr>
        <w:spacing w:line="276" w:lineRule="auto"/>
        <w:rPr>
          <w:rFonts w:asciiTheme="minorHAnsi" w:hAnsiTheme="minorHAnsi" w:cstheme="minorHAnsi"/>
        </w:rPr>
      </w:pPr>
      <w:r w:rsidRPr="00D751DF">
        <w:rPr>
          <w:rStyle w:val="Textodocorpo20"/>
          <w:rFonts w:asciiTheme="minorHAnsi" w:hAnsiTheme="minorHAnsi" w:cstheme="minorHAnsi"/>
          <w:sz w:val="22"/>
          <w:szCs w:val="22"/>
          <w:u w:val="none"/>
        </w:rPr>
        <w:t>11. FISCALIZAÇÃO:</w:t>
      </w:r>
    </w:p>
    <w:p w14:paraId="693DDE5B" w14:textId="77777777" w:rsidR="00CA10A5" w:rsidRPr="0075271B" w:rsidRDefault="00A00E5D" w:rsidP="00315F42">
      <w:pPr>
        <w:pStyle w:val="Textodocorpo"/>
        <w:shd w:val="clear" w:color="auto" w:fill="auto"/>
        <w:spacing w:after="283" w:line="276" w:lineRule="auto"/>
        <w:ind w:left="20" w:right="40" w:firstLine="689"/>
        <w:rPr>
          <w:rFonts w:asciiTheme="minorHAnsi" w:hAnsiTheme="minorHAnsi" w:cstheme="minorHAnsi"/>
          <w:sz w:val="24"/>
          <w:szCs w:val="22"/>
        </w:rPr>
      </w:pPr>
      <w:r w:rsidRPr="0075271B">
        <w:rPr>
          <w:rFonts w:asciiTheme="minorHAnsi" w:hAnsiTheme="minorHAnsi" w:cstheme="minorHAnsi"/>
          <w:sz w:val="24"/>
          <w:szCs w:val="22"/>
        </w:rPr>
        <w:t>A fiscalização do Contrato será exercida pela Contratante através de funcionário designado pela Secretaria de Saúde.</w:t>
      </w:r>
    </w:p>
    <w:p w14:paraId="05883D93" w14:textId="77777777" w:rsidR="00CA10A5" w:rsidRDefault="00A00E5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751DF">
        <w:rPr>
          <w:rFonts w:asciiTheme="minorHAnsi" w:hAnsiTheme="minorHAnsi" w:cstheme="minorHAnsi"/>
          <w:b/>
          <w:color w:val="000000"/>
          <w:sz w:val="22"/>
          <w:szCs w:val="22"/>
        </w:rPr>
        <w:t>12. EXIGÊNCIA DE DOCUMENTAÇÃO OBRIGATÓRIA:</w:t>
      </w:r>
    </w:p>
    <w:p w14:paraId="56AEF52F" w14:textId="77777777" w:rsidR="005F3720" w:rsidRPr="00D751DF" w:rsidRDefault="005F3720">
      <w:pPr>
        <w:rPr>
          <w:rFonts w:asciiTheme="minorHAnsi" w:hAnsiTheme="minorHAnsi" w:cstheme="minorHAnsi"/>
          <w:sz w:val="22"/>
          <w:szCs w:val="22"/>
        </w:rPr>
      </w:pPr>
    </w:p>
    <w:p w14:paraId="1101028A" w14:textId="77777777" w:rsidR="005F3720" w:rsidRDefault="005F3720" w:rsidP="005F3720">
      <w:pPr>
        <w:pStyle w:val="Textodocorpo"/>
        <w:shd w:val="clear" w:color="auto" w:fill="auto"/>
        <w:spacing w:after="283" w:line="276" w:lineRule="auto"/>
        <w:ind w:right="40"/>
        <w:rPr>
          <w:rFonts w:asciiTheme="minorHAnsi" w:hAnsiTheme="minorHAnsi" w:cstheme="minorHAnsi"/>
          <w:sz w:val="24"/>
          <w:szCs w:val="22"/>
        </w:rPr>
      </w:pPr>
      <w:r w:rsidRPr="00774FB3">
        <w:rPr>
          <w:rFonts w:asciiTheme="minorHAnsi" w:hAnsiTheme="minorHAnsi" w:cstheme="minorHAnsi"/>
          <w:sz w:val="24"/>
          <w:szCs w:val="22"/>
        </w:rPr>
        <w:t>Registro da ANVISA</w:t>
      </w:r>
      <w:r>
        <w:rPr>
          <w:rFonts w:asciiTheme="minorHAnsi" w:hAnsiTheme="minorHAnsi" w:cstheme="minorHAnsi"/>
          <w:sz w:val="24"/>
          <w:szCs w:val="22"/>
        </w:rPr>
        <w:t>.</w:t>
      </w:r>
    </w:p>
    <w:p w14:paraId="6ECB2246" w14:textId="77777777" w:rsidR="005F3720" w:rsidRDefault="005F3720" w:rsidP="005F3720">
      <w:pPr>
        <w:pStyle w:val="Textodocorpo"/>
        <w:shd w:val="clear" w:color="auto" w:fill="auto"/>
        <w:spacing w:after="283" w:line="276" w:lineRule="auto"/>
        <w:ind w:right="40"/>
        <w:rPr>
          <w:rFonts w:asciiTheme="minorHAnsi" w:hAnsiTheme="minorHAnsi" w:cstheme="minorHAnsi"/>
          <w:sz w:val="24"/>
          <w:szCs w:val="22"/>
        </w:rPr>
      </w:pPr>
    </w:p>
    <w:sectPr w:rsidR="005F3720" w:rsidSect="000B44D0">
      <w:headerReference w:type="default" r:id="rId7"/>
      <w:footerReference w:type="default" r:id="rId8"/>
      <w:pgSz w:w="11906" w:h="16838"/>
      <w:pgMar w:top="1440" w:right="1080" w:bottom="1440" w:left="1080" w:header="113" w:footer="227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F895" w14:textId="77777777" w:rsidR="009825BA" w:rsidRDefault="009825BA" w:rsidP="00CA10A5">
      <w:r>
        <w:separator/>
      </w:r>
    </w:p>
  </w:endnote>
  <w:endnote w:type="continuationSeparator" w:id="0">
    <w:p w14:paraId="38003117" w14:textId="77777777" w:rsidR="009825BA" w:rsidRDefault="009825BA" w:rsidP="00CA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2D0E" w14:textId="77777777" w:rsidR="009825BA" w:rsidRDefault="009825BA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2F415D3" w14:textId="77777777" w:rsidR="009825BA" w:rsidRDefault="009825BA">
    <w:pPr>
      <w:pStyle w:val="Rodap1"/>
    </w:pPr>
  </w:p>
  <w:p w14:paraId="48F63224" w14:textId="77777777" w:rsidR="009825BA" w:rsidRDefault="009825BA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27EE7DE6" w14:textId="406BC4DF" w:rsidR="009825BA" w:rsidRDefault="00F03D02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2CAE58B" wp14:editId="317A6B1B">
              <wp:simplePos x="0" y="0"/>
              <wp:positionH relativeFrom="column">
                <wp:posOffset>-239926495</wp:posOffset>
              </wp:positionH>
              <wp:positionV relativeFrom="paragraph">
                <wp:posOffset>-31153100</wp:posOffset>
              </wp:positionV>
              <wp:extent cx="244417850" cy="30083125"/>
              <wp:effectExtent l="0" t="0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417850" cy="30083125"/>
                      </a:xfrm>
                      <a:custGeom>
                        <a:avLst/>
                        <a:gdLst>
                          <a:gd name="T0" fmla="*/ 23581 w 678942"/>
                          <a:gd name="T1" fmla="*/ 18030 h 83567"/>
                          <a:gd name="T2" fmla="*/ 0 w 678942"/>
                          <a:gd name="T3" fmla="*/ 18030 h 83567"/>
                          <a:gd name="T4" fmla="*/ 0 w 678942"/>
                          <a:gd name="T5" fmla="*/ 0 h 83567"/>
                          <a:gd name="T6" fmla="*/ 23581 w 678942"/>
                          <a:gd name="T7" fmla="*/ 0 h 83567"/>
                          <a:gd name="T8" fmla="*/ 23581 w 678942"/>
                          <a:gd name="T9" fmla="*/ 18030 h 8356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78942" h="83567">
                            <a:moveTo>
                              <a:pt x="23581" y="18030"/>
                            </a:moveTo>
                            <a:lnTo>
                              <a:pt x="0" y="18030"/>
                            </a:lnTo>
                            <a:lnTo>
                              <a:pt x="0" y="0"/>
                            </a:lnTo>
                            <a:lnTo>
                              <a:pt x="23581" y="0"/>
                            </a:lnTo>
                            <a:lnTo>
                              <a:pt x="23581" y="1803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7779A7" id="Forma3" o:spid="_x0000_s1026" style="position:absolute;margin-left:-18891.85pt;margin-top:-2453pt;width:19245.5pt;height:2368.7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8942,8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" o:allowincell="f" path="m23581,18030l,18030,,,23581,r,18030e" filled="f" stroked="f" strokecolor="#3465a4">
              <v:path o:connecttype="custom" o:connectlocs="8489116,6490585;0,6490585;0,0;8489116,0;8489116,6490585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1C08" w14:textId="77777777" w:rsidR="009825BA" w:rsidRDefault="009825BA" w:rsidP="00CA10A5">
      <w:r>
        <w:separator/>
      </w:r>
    </w:p>
  </w:footnote>
  <w:footnote w:type="continuationSeparator" w:id="0">
    <w:p w14:paraId="5E91ABFA" w14:textId="77777777" w:rsidR="009825BA" w:rsidRDefault="009825BA" w:rsidP="00CA1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64D7" w14:textId="77777777" w:rsidR="009825BA" w:rsidRDefault="009825BA">
    <w:pPr>
      <w:jc w:val="center"/>
      <w:rPr>
        <w:rFonts w:eastAsia="Calibri"/>
      </w:rPr>
    </w:pPr>
  </w:p>
  <w:p w14:paraId="12783F49" w14:textId="77777777" w:rsidR="009825BA" w:rsidRDefault="009825BA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78F598F6" wp14:editId="00FA12E0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14B2D872" wp14:editId="2C264251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2A208952" w14:textId="77777777" w:rsidR="009825BA" w:rsidRDefault="009825BA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3D40D24D" w14:textId="77777777" w:rsidR="009825BA" w:rsidRDefault="009825BA">
    <w:pPr>
      <w:jc w:val="center"/>
    </w:pPr>
    <w:r>
      <w:rPr>
        <w:rFonts w:ascii="Calibri" w:eastAsia="Arial Unicode MS" w:hAnsi="Calibri" w:cs="Calibri"/>
        <w:b/>
        <w:sz w:val="32"/>
        <w:szCs w:val="32"/>
      </w:rPr>
      <w:t>GABINETE DO SECRETÁRIO</w:t>
    </w:r>
  </w:p>
  <w:p w14:paraId="7AD0A0B2" w14:textId="77777777" w:rsidR="009825BA" w:rsidRPr="00A00E5D" w:rsidRDefault="009825BA" w:rsidP="00A00E5D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À SAÚDE</w:t>
    </w:r>
  </w:p>
  <w:p w14:paraId="30B1CCDE" w14:textId="77777777" w:rsidR="009825BA" w:rsidRDefault="009825B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E0F"/>
    <w:multiLevelType w:val="multilevel"/>
    <w:tmpl w:val="B0D211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0D7982"/>
    <w:multiLevelType w:val="multilevel"/>
    <w:tmpl w:val="A98838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30265C"/>
    <w:multiLevelType w:val="multilevel"/>
    <w:tmpl w:val="C59EF9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685DC2"/>
    <w:multiLevelType w:val="multilevel"/>
    <w:tmpl w:val="5502925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565E1530"/>
    <w:multiLevelType w:val="multilevel"/>
    <w:tmpl w:val="1ECCEA4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191C5F"/>
    <w:multiLevelType w:val="multilevel"/>
    <w:tmpl w:val="4BF444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1F65D3"/>
    <w:multiLevelType w:val="multilevel"/>
    <w:tmpl w:val="1B5CE0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8D605CF"/>
    <w:multiLevelType w:val="hybridMultilevel"/>
    <w:tmpl w:val="F5BE3D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045645">
    <w:abstractNumId w:val="3"/>
  </w:num>
  <w:num w:numId="2" w16cid:durableId="389885426">
    <w:abstractNumId w:val="5"/>
  </w:num>
  <w:num w:numId="3" w16cid:durableId="160243790">
    <w:abstractNumId w:val="6"/>
  </w:num>
  <w:num w:numId="4" w16cid:durableId="820391204">
    <w:abstractNumId w:val="2"/>
  </w:num>
  <w:num w:numId="5" w16cid:durableId="156500418">
    <w:abstractNumId w:val="0"/>
  </w:num>
  <w:num w:numId="6" w16cid:durableId="2072850974">
    <w:abstractNumId w:val="4"/>
  </w:num>
  <w:num w:numId="7" w16cid:durableId="527987586">
    <w:abstractNumId w:val="1"/>
  </w:num>
  <w:num w:numId="8" w16cid:durableId="2000423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drawingGridHorizontalSpacing w:val="16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A5"/>
    <w:rsid w:val="00036D85"/>
    <w:rsid w:val="0008390D"/>
    <w:rsid w:val="000B44D0"/>
    <w:rsid w:val="001F4DFA"/>
    <w:rsid w:val="00251315"/>
    <w:rsid w:val="002E4729"/>
    <w:rsid w:val="002F47F1"/>
    <w:rsid w:val="00315F42"/>
    <w:rsid w:val="00361644"/>
    <w:rsid w:val="00364BBC"/>
    <w:rsid w:val="003754DE"/>
    <w:rsid w:val="003B4084"/>
    <w:rsid w:val="00484037"/>
    <w:rsid w:val="004E3D2D"/>
    <w:rsid w:val="005566F8"/>
    <w:rsid w:val="00564F95"/>
    <w:rsid w:val="005C33B4"/>
    <w:rsid w:val="005F3720"/>
    <w:rsid w:val="00630360"/>
    <w:rsid w:val="00724C78"/>
    <w:rsid w:val="00745019"/>
    <w:rsid w:val="007450B4"/>
    <w:rsid w:val="0075271B"/>
    <w:rsid w:val="007E13B7"/>
    <w:rsid w:val="007E550D"/>
    <w:rsid w:val="008053B6"/>
    <w:rsid w:val="008A49E7"/>
    <w:rsid w:val="009825BA"/>
    <w:rsid w:val="00997B42"/>
    <w:rsid w:val="009B514A"/>
    <w:rsid w:val="009F140D"/>
    <w:rsid w:val="009F1669"/>
    <w:rsid w:val="00A00E5D"/>
    <w:rsid w:val="00A26204"/>
    <w:rsid w:val="00A4520E"/>
    <w:rsid w:val="00B33F81"/>
    <w:rsid w:val="00B7075E"/>
    <w:rsid w:val="00B83C72"/>
    <w:rsid w:val="00BA7225"/>
    <w:rsid w:val="00BD0378"/>
    <w:rsid w:val="00C604D8"/>
    <w:rsid w:val="00CA10A5"/>
    <w:rsid w:val="00D35E3D"/>
    <w:rsid w:val="00D751DF"/>
    <w:rsid w:val="00DC43C5"/>
    <w:rsid w:val="00DC5C45"/>
    <w:rsid w:val="00E55F55"/>
    <w:rsid w:val="00E7092D"/>
    <w:rsid w:val="00E97F6C"/>
    <w:rsid w:val="00F03D02"/>
    <w:rsid w:val="00F35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1F6D1216"/>
  <w15:docId w15:val="{F3EFF893-2C9E-41B1-A11E-F5B52015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semiHidden/>
    <w:unhideWhenUsed/>
    <w:rsid w:val="00A00E5D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A00E5D"/>
  </w:style>
  <w:style w:type="paragraph" w:styleId="Rodap">
    <w:name w:val="footer"/>
    <w:basedOn w:val="Normal"/>
    <w:link w:val="RodapChar2"/>
    <w:uiPriority w:val="99"/>
    <w:semiHidden/>
    <w:unhideWhenUsed/>
    <w:rsid w:val="00A00E5D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A00E5D"/>
  </w:style>
  <w:style w:type="paragraph" w:customStyle="1" w:styleId="Default">
    <w:name w:val="Default"/>
    <w:rsid w:val="00B33F81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gkelc">
    <w:name w:val="hgkelc"/>
    <w:basedOn w:val="Fontepargpadro"/>
    <w:rsid w:val="0080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1181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Danielle Reis de Souza</cp:lastModifiedBy>
  <cp:revision>2</cp:revision>
  <cp:lastPrinted>2024-12-27T18:17:00Z</cp:lastPrinted>
  <dcterms:created xsi:type="dcterms:W3CDTF">2025-02-18T13:09:00Z</dcterms:created>
  <dcterms:modified xsi:type="dcterms:W3CDTF">2025-02-18T13:09:00Z</dcterms:modified>
  <dc:language>pt-BR</dc:language>
</cp:coreProperties>
</file>