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C199" w14:textId="77777777" w:rsidR="00FF5F35" w:rsidRPr="00141507" w:rsidRDefault="001E2B3B" w:rsidP="00141507">
      <w:pPr>
        <w:spacing w:before="240" w:after="240"/>
        <w:ind w:right="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TERMO</w:t>
      </w:r>
      <w:r w:rsidRPr="0014150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thick"/>
        </w:rPr>
        <w:t xml:space="preserve"> </w:t>
      </w: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DE</w:t>
      </w:r>
      <w:r w:rsidRPr="0014150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REFERÊNCIA</w:t>
      </w:r>
      <w:r w:rsidR="002652AA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– Nº 10/2025</w:t>
      </w:r>
    </w:p>
    <w:p w14:paraId="497AC4E0" w14:textId="77777777" w:rsidR="00FF5F35" w:rsidRPr="00141507" w:rsidRDefault="001E2B3B" w:rsidP="00141507">
      <w:pPr>
        <w:pStyle w:val="Corpodetexto"/>
        <w:spacing w:before="240" w:after="240" w:line="276" w:lineRule="auto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As especificações descritas neste documento têm como objetivo estabelecer 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diretrizes para orientar as empresas interessadas no fornecimento/prestação de serviço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Secretaria Municipal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Saúde/SMS/PMP,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fim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subsidiar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 apresentada.</w:t>
      </w:r>
    </w:p>
    <w:p w14:paraId="05DFAB5B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JUSTIFICATIVA:</w:t>
      </w:r>
    </w:p>
    <w:p w14:paraId="70BD7DB3" w14:textId="77777777" w:rsidR="00FF5F35" w:rsidRPr="00141507" w:rsidRDefault="001349CE" w:rsidP="001349CE">
      <w:pPr>
        <w:pStyle w:val="Corpodetexto"/>
        <w:spacing w:before="240" w:after="240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9E6399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Aquisição de m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ateriais hospitalares (bens permanentes) conforme Emenda P</w:t>
      </w:r>
      <w:r w:rsidRPr="009E6399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arlamentar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Nº 11129492000124006</w:t>
      </w:r>
      <w:r w:rsidR="00863DAF">
        <w:rPr>
          <w:rFonts w:ascii="Times New Roman" w:hAnsi="Times New Roman" w:cs="Times New Roman"/>
          <w:color w:val="000000" w:themeColor="text1"/>
        </w:rPr>
        <w:t xml:space="preserve"> através de Sistema de Registro de Preços.</w:t>
      </w:r>
    </w:p>
    <w:p w14:paraId="308C2C59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0C8E109A" w14:textId="77777777" w:rsidR="00FF5F35" w:rsidRPr="00141507" w:rsidRDefault="001349CE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9E6399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m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ateriais hospitalares (bens permanentes)</w:t>
      </w:r>
      <w:r w:rsidR="00206940">
        <w:rPr>
          <w:rFonts w:ascii="Times New Roman" w:hAnsi="Times New Roman" w:cs="Times New Roman"/>
          <w:color w:val="000000" w:themeColor="text1"/>
        </w:rPr>
        <w:t>.</w:t>
      </w:r>
      <w:r w:rsidR="001F629A">
        <w:rPr>
          <w:rFonts w:ascii="Times New Roman" w:hAnsi="Times New Roman" w:cs="Times New Roman"/>
          <w:color w:val="000000" w:themeColor="text1"/>
        </w:rPr>
        <w:t xml:space="preserve"> </w:t>
      </w:r>
    </w:p>
    <w:p w14:paraId="411F9540" w14:textId="77777777" w:rsidR="00141507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2.1 Critério de Julgamento</w:t>
      </w:r>
    </w:p>
    <w:p w14:paraId="73AD7FA7" w14:textId="77777777" w:rsidR="00141507" w:rsidRPr="00141507" w:rsidRDefault="00141507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 xml:space="preserve">Menor </w:t>
      </w:r>
      <w:r w:rsidR="002652AA">
        <w:rPr>
          <w:rFonts w:ascii="Times New Roman" w:hAnsi="Times New Roman" w:cs="Times New Roman"/>
          <w:color w:val="000000" w:themeColor="text1"/>
        </w:rPr>
        <w:t>preço por item</w:t>
      </w:r>
      <w:r w:rsidRPr="00141507">
        <w:rPr>
          <w:rFonts w:ascii="Times New Roman" w:hAnsi="Times New Roman" w:cs="Times New Roman"/>
          <w:color w:val="000000" w:themeColor="text1"/>
        </w:rPr>
        <w:t>.</w:t>
      </w:r>
    </w:p>
    <w:p w14:paraId="62072DD7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PRAZOS:</w:t>
      </w:r>
    </w:p>
    <w:p w14:paraId="48767AD4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entrega ou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serviços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deverá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 de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até </w:t>
      </w:r>
      <w:r w:rsidR="003575DA" w:rsidRPr="00141507">
        <w:rPr>
          <w:rFonts w:ascii="Times New Roman" w:hAnsi="Times New Roman" w:cs="Times New Roman"/>
          <w:color w:val="000000" w:themeColor="text1"/>
        </w:rPr>
        <w:t>30</w:t>
      </w:r>
      <w:r w:rsidRPr="00141507">
        <w:rPr>
          <w:rFonts w:ascii="Times New Roman" w:hAnsi="Times New Roman" w:cs="Times New Roman"/>
          <w:color w:val="000000" w:themeColor="text1"/>
        </w:rPr>
        <w:t xml:space="preserve"> dias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corridos,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contados a partir do recebimento da autorização </w:t>
      </w:r>
      <w:r w:rsidR="003575DA" w:rsidRPr="00141507">
        <w:rPr>
          <w:rFonts w:ascii="Times New Roman" w:hAnsi="Times New Roman" w:cs="Times New Roman"/>
          <w:color w:val="000000" w:themeColor="text1"/>
        </w:rPr>
        <w:t>de fornecimento.</w:t>
      </w:r>
    </w:p>
    <w:p w14:paraId="0452FC2C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FORNECIMENTO:</w:t>
      </w:r>
    </w:p>
    <w:p w14:paraId="7EA0DFB3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2B3B"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 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execução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serviços serão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efetuadas:</w:t>
      </w:r>
    </w:p>
    <w:p w14:paraId="7CB2CD4F" w14:textId="77777777" w:rsidR="00FF5F35" w:rsidRPr="00141507" w:rsidRDefault="005D4F41" w:rsidP="00610A50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A</w:t>
      </w:r>
      <w:r w:rsidR="001349CE">
        <w:rPr>
          <w:rFonts w:ascii="Times New Roman" w:hAnsi="Times New Roman" w:cs="Times New Roman"/>
          <w:bCs/>
          <w:color w:val="000000" w:themeColor="text1"/>
        </w:rPr>
        <w:t xml:space="preserve">s estregas deverão ser enviadas à </w:t>
      </w:r>
      <w:r w:rsidR="003575DA" w:rsidRPr="00141507">
        <w:rPr>
          <w:rFonts w:ascii="Times New Roman" w:hAnsi="Times New Roman" w:cs="Times New Roman"/>
          <w:bCs/>
          <w:color w:val="000000" w:themeColor="text1"/>
        </w:rPr>
        <w:t>Rua Quissamã, 1931 Galpão 7 A, Condomínio Industrial, Bairro Itamarati, Petrópolis / RJ, de segunda à sexta, no horário de</w:t>
      </w:r>
      <w:r>
        <w:rPr>
          <w:rFonts w:ascii="Times New Roman" w:hAnsi="Times New Roman" w:cs="Times New Roman"/>
          <w:color w:val="000000" w:themeColor="text1"/>
        </w:rPr>
        <w:t xml:space="preserve"> 08h às 16h.</w:t>
      </w:r>
    </w:p>
    <w:p w14:paraId="727B567E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validade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proposta:</w:t>
      </w:r>
    </w:p>
    <w:p w14:paraId="00B2174A" w14:textId="77777777" w:rsidR="00FF5F35" w:rsidRPr="00141507" w:rsidRDefault="001E2B3B" w:rsidP="00141507">
      <w:pPr>
        <w:pStyle w:val="Corpodetexto"/>
        <w:spacing w:before="240" w:after="240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não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poderá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inferior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60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(sessenta)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dias.</w:t>
      </w:r>
    </w:p>
    <w:p w14:paraId="4B341A92" w14:textId="77777777" w:rsidR="00610A50" w:rsidRDefault="00610A5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8EC1EB8" w14:textId="77777777" w:rsidR="00FF5F35" w:rsidRDefault="001E2B3B" w:rsidP="001349CE">
      <w:pPr>
        <w:pStyle w:val="Ttulo2"/>
        <w:numPr>
          <w:ilvl w:val="1"/>
          <w:numId w:val="24"/>
        </w:numPr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Descrição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detalhada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produto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serviço:</w:t>
      </w:r>
    </w:p>
    <w:tbl>
      <w:tblPr>
        <w:tblStyle w:val="Tabelacomgrade"/>
        <w:tblW w:w="6174" w:type="pct"/>
        <w:tblInd w:w="-1026" w:type="dxa"/>
        <w:tblLook w:val="04A0" w:firstRow="1" w:lastRow="0" w:firstColumn="1" w:lastColumn="0" w:noHBand="0" w:noVBand="1"/>
      </w:tblPr>
      <w:tblGrid>
        <w:gridCol w:w="691"/>
        <w:gridCol w:w="8147"/>
        <w:gridCol w:w="690"/>
        <w:gridCol w:w="965"/>
      </w:tblGrid>
      <w:tr w:rsidR="007F6E64" w:rsidRPr="00182BD0" w14:paraId="55860F72" w14:textId="77777777" w:rsidTr="00255267">
        <w:trPr>
          <w:cantSplit/>
        </w:trPr>
        <w:tc>
          <w:tcPr>
            <w:tcW w:w="329" w:type="pct"/>
            <w:vAlign w:val="center"/>
          </w:tcPr>
          <w:p w14:paraId="05634952" w14:textId="77777777" w:rsidR="007F6E64" w:rsidRPr="00182BD0" w:rsidRDefault="007F6E64" w:rsidP="0025526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882" w:type="pct"/>
            <w:vAlign w:val="center"/>
          </w:tcPr>
          <w:p w14:paraId="4D008569" w14:textId="77777777" w:rsidR="007F6E64" w:rsidRPr="00182BD0" w:rsidRDefault="007F6E64" w:rsidP="0025526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329" w:type="pct"/>
            <w:vAlign w:val="center"/>
          </w:tcPr>
          <w:p w14:paraId="280AF6F2" w14:textId="77777777" w:rsidR="007F6E64" w:rsidRPr="00182BD0" w:rsidRDefault="007F6E64" w:rsidP="0025526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UNID</w:t>
            </w:r>
          </w:p>
        </w:tc>
        <w:tc>
          <w:tcPr>
            <w:tcW w:w="460" w:type="pct"/>
            <w:vAlign w:val="center"/>
          </w:tcPr>
          <w:p w14:paraId="47B067AC" w14:textId="77777777" w:rsidR="007F6E64" w:rsidRPr="00182BD0" w:rsidRDefault="007F6E64" w:rsidP="0025526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AB0AD6" w:rsidRPr="00182BD0" w14:paraId="3155125A" w14:textId="77777777" w:rsidTr="00255267">
        <w:trPr>
          <w:cantSplit/>
        </w:trPr>
        <w:tc>
          <w:tcPr>
            <w:tcW w:w="329" w:type="pct"/>
            <w:vAlign w:val="center"/>
          </w:tcPr>
          <w:p w14:paraId="130B59B7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2" w:type="pct"/>
            <w:vAlign w:val="center"/>
          </w:tcPr>
          <w:p w14:paraId="357D7807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BALANÇA ANTROPOMÉTRICA ADULTO</w:t>
            </w:r>
          </w:p>
          <w:p w14:paraId="29728760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metal e polietileno;</w:t>
            </w:r>
          </w:p>
          <w:p w14:paraId="29C037C2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E27C4B3" w14:textId="77777777" w:rsidR="00AB0AD6" w:rsidRPr="00680F9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7A41D1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7A41D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Pr="007A41D1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  <w:r w:rsidRPr="007A41D1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balança antropométrica adulto digital, display LED de 6 dígitos, estrutura em aço carbono, antropômetro em alumínio anozidzado e litografado com medida de até 2 metros com fração de 50 cm, pés reguláveis e antiderrapantes, plataforma com tapete antiderrapante, bivolt com chave seletora de tensão, capacidade de 200 kg, pintura eletrostática a pó na cor branca com tratamento antiferrugem, homologada pelo INMETRO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14:paraId="66B1DBD8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x P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125 cm x 35 cm x 51 cm</w:t>
            </w:r>
          </w:p>
        </w:tc>
        <w:tc>
          <w:tcPr>
            <w:tcW w:w="329" w:type="pct"/>
            <w:vAlign w:val="center"/>
          </w:tcPr>
          <w:p w14:paraId="504BDEFC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09B64A82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162</w:t>
            </w:r>
          </w:p>
        </w:tc>
      </w:tr>
      <w:tr w:rsidR="00AB0AD6" w:rsidRPr="00182BD0" w14:paraId="6CA2EB75" w14:textId="77777777" w:rsidTr="00255267">
        <w:trPr>
          <w:cantSplit/>
        </w:trPr>
        <w:tc>
          <w:tcPr>
            <w:tcW w:w="329" w:type="pct"/>
            <w:vAlign w:val="center"/>
          </w:tcPr>
          <w:p w14:paraId="27ADD838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2" w:type="pct"/>
            <w:vAlign w:val="center"/>
          </w:tcPr>
          <w:p w14:paraId="534CA7CC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BALANÇA ANTROPOMÉTRICA INFANTIL</w:t>
            </w:r>
          </w:p>
          <w:p w14:paraId="3ECE1394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metal e plástico;</w:t>
            </w:r>
          </w:p>
          <w:p w14:paraId="02D1DFC6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8825B96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balança antropométrica infantil digital, com concha anatômica injetada em polipropileno em material anti-germes, com faixa de medição antropométrica na concha de 54 cm, acompanha almofada revestida com material de fácil limpeza, display LED de 6 dígitos, estrutura em aço carbono com cobertura plástica, pés reguláveis e antiderrapantes, graduação de 10g em 10g, bivolt com chave seletora de tensão, capacidade de 30 kg, homologada pelo INMETRO</w:t>
            </w:r>
          </w:p>
          <w:p w14:paraId="4C006D39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x P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14 cm x 37 cm x 37 cm</w:t>
            </w:r>
          </w:p>
        </w:tc>
        <w:tc>
          <w:tcPr>
            <w:tcW w:w="329" w:type="pct"/>
            <w:vAlign w:val="center"/>
          </w:tcPr>
          <w:p w14:paraId="476B0B7C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70A45D79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111</w:t>
            </w:r>
          </w:p>
        </w:tc>
      </w:tr>
      <w:tr w:rsidR="00AB0AD6" w:rsidRPr="00182BD0" w14:paraId="094B1BB1" w14:textId="77777777" w:rsidTr="00255267">
        <w:trPr>
          <w:cantSplit/>
        </w:trPr>
        <w:tc>
          <w:tcPr>
            <w:tcW w:w="329" w:type="pct"/>
            <w:vAlign w:val="center"/>
          </w:tcPr>
          <w:p w14:paraId="412FD520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2" w:type="pct"/>
            <w:vAlign w:val="center"/>
          </w:tcPr>
          <w:p w14:paraId="630FFC92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BALANÇA ANTROPOMÉTRICA OBESO</w:t>
            </w:r>
          </w:p>
          <w:p w14:paraId="775965F8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metal e plástico;</w:t>
            </w:r>
          </w:p>
          <w:p w14:paraId="3BA9E1BE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F45F93B" w14:textId="77777777" w:rsidR="00AB0AD6" w:rsidRPr="00680F9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balança antropométrica adulto digital, display LED de 6 dígitos, estrutura em aço carbono, antropômetro em alumínio anozidzado e litografado com medida de até 2 metros com fração de 50 cm, pés reguláveis e antiderrapantes, plataforma com tapete antiderrapante, bivolt com chave seletora de tensão, capacidade de 300 kg, pintura eletrostática a pó na cor branca com tratamento antiferrugem, homologada pelo INMETRO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14:paraId="3A774A04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x P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125 cm x 35 cm x 51 cm</w:t>
            </w:r>
          </w:p>
        </w:tc>
        <w:tc>
          <w:tcPr>
            <w:tcW w:w="329" w:type="pct"/>
            <w:vAlign w:val="center"/>
          </w:tcPr>
          <w:p w14:paraId="0D5F3F6B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1A1095AF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54</w:t>
            </w:r>
          </w:p>
        </w:tc>
      </w:tr>
      <w:tr w:rsidR="00AB0AD6" w:rsidRPr="00182BD0" w14:paraId="4FAE478C" w14:textId="77777777" w:rsidTr="00255267">
        <w:trPr>
          <w:cantSplit/>
        </w:trPr>
        <w:tc>
          <w:tcPr>
            <w:tcW w:w="329" w:type="pct"/>
            <w:vAlign w:val="center"/>
          </w:tcPr>
          <w:p w14:paraId="217202DC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2" w:type="pct"/>
            <w:vAlign w:val="center"/>
          </w:tcPr>
          <w:p w14:paraId="2DE4762F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BALANÇA DIGITAL PORTÁTIL</w:t>
            </w:r>
          </w:p>
          <w:p w14:paraId="3096AEC2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plástico, vidro e metal;</w:t>
            </w:r>
          </w:p>
          <w:p w14:paraId="1FBB1F78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8B31403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balança digital portátil construida em material resistente a impacto e de fácil higienização, mostrador digital com indicadores de, no mínimo, 6 dígitos, capacidade de pesagem de 150 kg, desligamento automático, alimentação por pilhas, pés revestidos de material antiderrapante, não incluir bioimpedanciometria, possuir homologação do INMETRO.</w:t>
            </w:r>
          </w:p>
          <w:p w14:paraId="391393A1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12 cm x 7 cm x 2,9 cm</w:t>
            </w:r>
          </w:p>
        </w:tc>
        <w:tc>
          <w:tcPr>
            <w:tcW w:w="329" w:type="pct"/>
            <w:vAlign w:val="center"/>
          </w:tcPr>
          <w:p w14:paraId="3F13477A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61A9F1CE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156</w:t>
            </w:r>
          </w:p>
        </w:tc>
      </w:tr>
      <w:tr w:rsidR="00AB0AD6" w:rsidRPr="00182BD0" w14:paraId="4B648A58" w14:textId="77777777" w:rsidTr="00255267">
        <w:trPr>
          <w:cantSplit/>
        </w:trPr>
        <w:tc>
          <w:tcPr>
            <w:tcW w:w="329" w:type="pct"/>
            <w:vAlign w:val="center"/>
          </w:tcPr>
          <w:p w14:paraId="6BFBAC49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2" w:type="pct"/>
            <w:vAlign w:val="center"/>
          </w:tcPr>
          <w:p w14:paraId="310D51F9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CADEIRA DE RODAS ADULTO</w:t>
            </w:r>
          </w:p>
          <w:p w14:paraId="670E9532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metal e couro sintético;</w:t>
            </w:r>
          </w:p>
          <w:p w14:paraId="357E93E7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preto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3FCDE9B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cadeira de rodas adulto confeccionada em em tubos de alumínio ou aço carbono, dobrável em x, estofamanto em couro sintético, capacidade de 120 kg, rodas maciças: traseira de 24” e dianteiras de 6”, freios bilaterais reguláveis, apoios de pés articuláveis, apoios de braços fixos;</w:t>
            </w:r>
          </w:p>
          <w:p w14:paraId="26F4CA69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EA746E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 w:rsidRPr="00EA746E">
              <w:rPr>
                <w:rFonts w:ascii="Arial Narrow" w:hAnsi="Arial Narrow"/>
                <w:sz w:val="20"/>
                <w:szCs w:val="20"/>
              </w:rPr>
              <w:t>: Largura do assento: 40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Profundidade do assento: 42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Altura do assento ao apoio de braço: 17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Altura do assento ao chão: 53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Altura entre a bengala de empurrão e a roda traseira: 40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Largura total aberta: 64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Largura total fechada: 32 cm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EA746E">
              <w:rPr>
                <w:rFonts w:ascii="Arial Narrow" w:hAnsi="Arial Narrow"/>
                <w:sz w:val="20"/>
                <w:szCs w:val="20"/>
              </w:rPr>
              <w:t>Altura total: 96 cm</w:t>
            </w:r>
          </w:p>
        </w:tc>
        <w:tc>
          <w:tcPr>
            <w:tcW w:w="329" w:type="pct"/>
            <w:vAlign w:val="center"/>
          </w:tcPr>
          <w:p w14:paraId="1805D96A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37284FC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25</w:t>
            </w:r>
          </w:p>
        </w:tc>
      </w:tr>
      <w:tr w:rsidR="00AB0AD6" w:rsidRPr="00182BD0" w14:paraId="596FA55A" w14:textId="77777777" w:rsidTr="00255267">
        <w:trPr>
          <w:cantSplit/>
        </w:trPr>
        <w:tc>
          <w:tcPr>
            <w:tcW w:w="329" w:type="pct"/>
            <w:vAlign w:val="center"/>
          </w:tcPr>
          <w:p w14:paraId="6B1C20CA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2" w:type="pct"/>
            <w:vAlign w:val="center"/>
          </w:tcPr>
          <w:p w14:paraId="3122E8E2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CARRO DE CURATIVOS</w:t>
            </w:r>
          </w:p>
          <w:p w14:paraId="234CF78D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metal e plástico;</w:t>
            </w:r>
          </w:p>
          <w:p w14:paraId="5AC1A0B5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sem cor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13F1A57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carro para curativo em aço inox, armação tubular, tampo e prateleiras em chapa de aço inox, pés com rodízios de 3” e com suporte para bacia e balde, acompanhado de balde de 5 litros em alumínio e bacia de 3 litros em aço inox</w:t>
            </w:r>
          </w:p>
          <w:p w14:paraId="7CE26C98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113 cm x 85 cm x 48 cm</w:t>
            </w:r>
          </w:p>
        </w:tc>
        <w:tc>
          <w:tcPr>
            <w:tcW w:w="329" w:type="pct"/>
            <w:vAlign w:val="center"/>
          </w:tcPr>
          <w:p w14:paraId="156D0021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11AA9DAD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32</w:t>
            </w:r>
          </w:p>
        </w:tc>
      </w:tr>
      <w:tr w:rsidR="00AB0AD6" w:rsidRPr="00182BD0" w14:paraId="797CF501" w14:textId="77777777" w:rsidTr="00255267">
        <w:trPr>
          <w:cantSplit/>
        </w:trPr>
        <w:tc>
          <w:tcPr>
            <w:tcW w:w="329" w:type="pct"/>
            <w:vAlign w:val="center"/>
          </w:tcPr>
          <w:p w14:paraId="2B274DAE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82" w:type="pct"/>
            <w:vAlign w:val="center"/>
          </w:tcPr>
          <w:p w14:paraId="1DDBD9D7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2E76D6">
              <w:rPr>
                <w:rFonts w:ascii="Arial Narrow" w:hAnsi="Arial Narrow" w:cstheme="majorHAnsi"/>
                <w:b/>
                <w:sz w:val="20"/>
                <w:szCs w:val="20"/>
              </w:rPr>
              <w:t>DETECTOR FETAL DE MESA</w:t>
            </w:r>
          </w:p>
          <w:p w14:paraId="1640C77A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plástico;</w:t>
            </w:r>
          </w:p>
          <w:p w14:paraId="4E3159E7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652D0CD" w14:textId="77777777" w:rsidR="00AB0AD6" w:rsidRDefault="00AB0AD6" w:rsidP="00255267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detector fetal de mesa, f</w:t>
            </w:r>
            <w:r w:rsidRPr="00B56D6B">
              <w:rPr>
                <w:rFonts w:ascii="Arial Narrow" w:hAnsi="Arial Narrow"/>
                <w:sz w:val="20"/>
                <w:szCs w:val="20"/>
              </w:rPr>
              <w:t xml:space="preserve">aixa de medida do BCF de 50 a 240 batidas por minuto, botão liga ou desliga com regulagem de intensidade do volume, botão com regulagem de tonalidade de grave e agudo, filtro minimizador de interferências durante a utilização, ausculta de batimentos cardíaco fetal a partir da 10ª semana, alta sensibilidade para ausculta coletiva, saída para fone de ouvido ou gravador de som, ciclagem de 6.000 a 60.000, frequência de 2,0 a 2,25 MHz, alojamento para transdutor fixado na lateral do gabinete, LED indicador de equipamento ligado e pronto para uso imediato, alimentação </w:t>
            </w:r>
            <w:r>
              <w:rPr>
                <w:rFonts w:ascii="Arial Narrow" w:hAnsi="Arial Narrow"/>
                <w:sz w:val="20"/>
                <w:szCs w:val="20"/>
              </w:rPr>
              <w:t>bivolt, com registro na ANVISA.</w:t>
            </w:r>
          </w:p>
          <w:p w14:paraId="4221392A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9,5 cm x 20 cm x 21 cm</w:t>
            </w:r>
          </w:p>
        </w:tc>
        <w:tc>
          <w:tcPr>
            <w:tcW w:w="329" w:type="pct"/>
            <w:vAlign w:val="center"/>
          </w:tcPr>
          <w:p w14:paraId="0F9AE14B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43C1B657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25</w:t>
            </w:r>
          </w:p>
        </w:tc>
      </w:tr>
      <w:tr w:rsidR="00AB0AD6" w:rsidRPr="00182BD0" w14:paraId="7FE3226B" w14:textId="77777777" w:rsidTr="00255267">
        <w:trPr>
          <w:cantSplit/>
        </w:trPr>
        <w:tc>
          <w:tcPr>
            <w:tcW w:w="329" w:type="pct"/>
            <w:vAlign w:val="center"/>
          </w:tcPr>
          <w:p w14:paraId="49D0198E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2" w:type="pct"/>
            <w:vAlign w:val="center"/>
          </w:tcPr>
          <w:p w14:paraId="4F712F88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EF2E84">
              <w:rPr>
                <w:rFonts w:ascii="Arial Narrow" w:hAnsi="Arial Narrow" w:cstheme="majorHAnsi"/>
                <w:b/>
                <w:sz w:val="20"/>
                <w:szCs w:val="20"/>
              </w:rPr>
              <w:t>MACA (MESA/DIVÃ) PARA EXAME CLÍNICO ADULTO</w:t>
            </w:r>
          </w:p>
          <w:p w14:paraId="4439512B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aço inoxidável, espuma e plastico;</w:t>
            </w:r>
          </w:p>
          <w:p w14:paraId="65EBB383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preto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E52A114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maca (mesa/divã) para exame clínico com estrutura tubular em aço carbono que suporte até 200kg com pintura eletrostática branca com tratamento antiferrugem, leito estofado revestido em couro sintético, cabeceira reclinavel em até 4 posições através de cremalheiras, suporte para lençol descartável, pés emborrachados antiderrapante,</w:t>
            </w:r>
          </w:p>
          <w:p w14:paraId="62FA32BD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(A x L </w:t>
            </w:r>
            <w:r>
              <w:rPr>
                <w:rFonts w:ascii="Arial Narrow" w:hAnsi="Arial Narrow"/>
                <w:b/>
                <w:sz w:val="20"/>
                <w:szCs w:val="20"/>
              </w:rPr>
              <w:t>x C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80 cm x 70 cm x 180 cm</w:t>
            </w:r>
          </w:p>
        </w:tc>
        <w:tc>
          <w:tcPr>
            <w:tcW w:w="329" w:type="pct"/>
            <w:vAlign w:val="center"/>
          </w:tcPr>
          <w:p w14:paraId="33795886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5145DAAE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42</w:t>
            </w:r>
          </w:p>
        </w:tc>
      </w:tr>
      <w:tr w:rsidR="00AB0AD6" w:rsidRPr="00182BD0" w14:paraId="1775D458" w14:textId="77777777" w:rsidTr="00255267">
        <w:trPr>
          <w:cantSplit/>
        </w:trPr>
        <w:tc>
          <w:tcPr>
            <w:tcW w:w="329" w:type="pct"/>
            <w:vAlign w:val="center"/>
          </w:tcPr>
          <w:p w14:paraId="47AC6193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2" w:type="pct"/>
            <w:vAlign w:val="center"/>
          </w:tcPr>
          <w:p w14:paraId="3B28243C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86010">
              <w:rPr>
                <w:rFonts w:ascii="Arial Narrow" w:hAnsi="Arial Narrow" w:cstheme="majorHAnsi"/>
                <w:b/>
                <w:sz w:val="20"/>
                <w:szCs w:val="20"/>
              </w:rPr>
              <w:t>MESA GINECOLÓGICA</w:t>
            </w:r>
          </w:p>
          <w:p w14:paraId="0E02F7DA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madeira, metal e plástico;</w:t>
            </w:r>
          </w:p>
          <w:p w14:paraId="22EB28CF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2895309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mesa ginecológica com gabinete confeccionado em madeira, com 2 portas e 3 ou 4 gavetas, com puxadores embutidos, leito em espuma D28 ou superior, revestida em couro sintético, com assento fixo e encosto e apoio de pernas com 5 níveis de elevação, com par de suportes para coxa, capacidade para pacientes de até 150 kg</w:t>
            </w:r>
          </w:p>
          <w:p w14:paraId="59433ED5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(A x </w:t>
            </w:r>
            <w:r>
              <w:rPr>
                <w:rFonts w:ascii="Arial Narrow" w:hAnsi="Arial Narrow"/>
                <w:b/>
                <w:sz w:val="20"/>
                <w:szCs w:val="20"/>
              </w:rPr>
              <w:t>C x L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80 cm x 130 cm x 60 cm</w:t>
            </w:r>
          </w:p>
        </w:tc>
        <w:tc>
          <w:tcPr>
            <w:tcW w:w="329" w:type="pct"/>
            <w:vAlign w:val="center"/>
          </w:tcPr>
          <w:p w14:paraId="03CE64EC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200268A9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9</w:t>
            </w:r>
          </w:p>
        </w:tc>
      </w:tr>
      <w:tr w:rsidR="00AB0AD6" w:rsidRPr="00182BD0" w14:paraId="5D8AC1EB" w14:textId="77777777" w:rsidTr="00255267">
        <w:trPr>
          <w:cantSplit/>
        </w:trPr>
        <w:tc>
          <w:tcPr>
            <w:tcW w:w="329" w:type="pct"/>
            <w:vAlign w:val="center"/>
          </w:tcPr>
          <w:p w14:paraId="1E5FE93F" w14:textId="77777777" w:rsidR="00AB0AD6" w:rsidRDefault="00AB0AD6" w:rsidP="0025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82" w:type="pct"/>
            <w:vAlign w:val="center"/>
          </w:tcPr>
          <w:p w14:paraId="6083CEFB" w14:textId="77777777" w:rsidR="00AB0AD6" w:rsidRDefault="00AB0AD6" w:rsidP="0025526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OTOSCÓPIO</w:t>
            </w:r>
          </w:p>
          <w:p w14:paraId="3BA85CC2" w14:textId="77777777" w:rsidR="00AB0AD6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metal e plástico;</w:t>
            </w:r>
          </w:p>
          <w:p w14:paraId="44FB55B1" w14:textId="77777777" w:rsidR="00AB0AD6" w:rsidRPr="00182BD0" w:rsidRDefault="00AB0AD6" w:rsidP="0025526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preto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913519F" w14:textId="77777777" w:rsidR="00AB0AD6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>
              <w:rPr>
                <w:rFonts w:ascii="Arial Narrow" w:hAnsi="Arial Narrow"/>
                <w:sz w:val="20"/>
                <w:szCs w:val="20"/>
              </w:rPr>
              <w:t>otoscópio com cabo e</w:t>
            </w:r>
            <w:r w:rsidRPr="0051731C">
              <w:rPr>
                <w:rFonts w:ascii="Arial Narrow" w:hAnsi="Arial Narrow"/>
                <w:sz w:val="20"/>
                <w:szCs w:val="20"/>
              </w:rPr>
              <w:t>m aço inox com revestimento termoplástico reforçado</w:t>
            </w:r>
            <w:r>
              <w:rPr>
                <w:rFonts w:ascii="Arial Narrow" w:hAnsi="Arial Narrow"/>
                <w:sz w:val="20"/>
                <w:szCs w:val="20"/>
              </w:rPr>
              <w:t>, c</w:t>
            </w:r>
            <w:r w:rsidRPr="0051731C">
              <w:rPr>
                <w:rFonts w:ascii="Arial Narrow" w:hAnsi="Arial Narrow"/>
                <w:sz w:val="20"/>
                <w:szCs w:val="20"/>
              </w:rPr>
              <w:t>abeça em aço inoxidável e uma combinação de polímeros termoplásticos</w:t>
            </w:r>
            <w:r>
              <w:rPr>
                <w:rFonts w:ascii="Arial Narrow" w:hAnsi="Arial Narrow"/>
                <w:sz w:val="20"/>
                <w:szCs w:val="20"/>
              </w:rPr>
              <w:t xml:space="preserve"> acompanha 5 espéculos permanentes de plástico com diâmetros de 2.5 mm, 3.0 mm, 3.5 mm, 4.0 mm e 8.0 mm, possui relugador de intensidade de luz, acompanha estojo para guarda, pilhas inclusas, possuir registro na ANVISA</w:t>
            </w:r>
          </w:p>
          <w:p w14:paraId="752F374C" w14:textId="77777777" w:rsidR="00AB0AD6" w:rsidRPr="00353E02" w:rsidRDefault="00AB0AD6" w:rsidP="0025526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</w:t>
            </w:r>
            <w:r>
              <w:rPr>
                <w:rFonts w:ascii="Arial Narrow" w:hAnsi="Arial Narrow"/>
                <w:b/>
                <w:sz w:val="20"/>
                <w:szCs w:val="20"/>
              </w:rPr>
              <w:t>MADAS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17 cm x 2,5 cm</w:t>
            </w:r>
          </w:p>
        </w:tc>
        <w:tc>
          <w:tcPr>
            <w:tcW w:w="329" w:type="pct"/>
            <w:vAlign w:val="center"/>
          </w:tcPr>
          <w:p w14:paraId="2F69463D" w14:textId="77777777" w:rsidR="00AB0AD6" w:rsidRPr="00182BD0" w:rsidRDefault="00AB0AD6" w:rsidP="002552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74B84DBA" w14:textId="77777777" w:rsidR="00AB0AD6" w:rsidRPr="00AB0AD6" w:rsidRDefault="00AB0AD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AB0AD6">
              <w:rPr>
                <w:rFonts w:ascii="Arial Narrow" w:hAnsi="Arial Narrow"/>
                <w:bCs/>
                <w:color w:val="000000"/>
              </w:rPr>
              <w:t>111</w:t>
            </w:r>
          </w:p>
        </w:tc>
      </w:tr>
    </w:tbl>
    <w:p w14:paraId="2F3E3D32" w14:textId="77777777" w:rsidR="00FF5F35" w:rsidRPr="00141507" w:rsidRDefault="001E2B3B" w:rsidP="005F68CB">
      <w:pPr>
        <w:pStyle w:val="Ttulo2"/>
        <w:numPr>
          <w:ilvl w:val="1"/>
          <w:numId w:val="24"/>
        </w:numPr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Das Amostras:</w:t>
      </w:r>
    </w:p>
    <w:p w14:paraId="01BE856E" w14:textId="77777777" w:rsidR="00BE3D55" w:rsidRDefault="000F44BB" w:rsidP="00BE3D55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215A0F">
        <w:rPr>
          <w:rFonts w:ascii="Times New Roman" w:hAnsi="Times New Roman" w:cs="Times New Roman"/>
          <w:color w:val="000000" w:themeColor="text1"/>
        </w:rPr>
        <w:t>A empresa vencedora do certame deverá apresentar a marca e</w:t>
      </w:r>
      <w:r>
        <w:rPr>
          <w:rFonts w:ascii="Times New Roman" w:hAnsi="Times New Roman" w:cs="Times New Roman"/>
          <w:color w:val="000000" w:themeColor="text1"/>
        </w:rPr>
        <w:t xml:space="preserve"> o modelo dos itens</w:t>
      </w:r>
      <w:r w:rsidRPr="00215A0F">
        <w:rPr>
          <w:rFonts w:ascii="Times New Roman" w:hAnsi="Times New Roman" w:cs="Times New Roman"/>
          <w:color w:val="000000" w:themeColor="text1"/>
        </w:rPr>
        <w:t xml:space="preserve"> a ser</w:t>
      </w:r>
      <w:r>
        <w:rPr>
          <w:rFonts w:ascii="Times New Roman" w:hAnsi="Times New Roman" w:cs="Times New Roman"/>
          <w:color w:val="000000" w:themeColor="text1"/>
        </w:rPr>
        <w:t>em</w:t>
      </w:r>
      <w:r w:rsidRPr="00215A0F">
        <w:rPr>
          <w:rFonts w:ascii="Times New Roman" w:hAnsi="Times New Roman" w:cs="Times New Roman"/>
          <w:color w:val="000000" w:themeColor="text1"/>
        </w:rPr>
        <w:t xml:space="preserve"> fornecido</w:t>
      </w:r>
      <w:r>
        <w:rPr>
          <w:rFonts w:ascii="Times New Roman" w:hAnsi="Times New Roman" w:cs="Times New Roman"/>
          <w:color w:val="000000" w:themeColor="text1"/>
        </w:rPr>
        <w:t>s</w:t>
      </w:r>
      <w:r w:rsidRPr="00215A0F">
        <w:rPr>
          <w:rFonts w:ascii="Times New Roman" w:hAnsi="Times New Roman" w:cs="Times New Roman"/>
          <w:color w:val="000000" w:themeColor="text1"/>
        </w:rPr>
        <w:t xml:space="preserve"> a esta Secretaria, bem como a descrição completa das características técnicas do produto para que possamos avaliar se atende às necessidades do Departamento</w:t>
      </w:r>
      <w:r>
        <w:rPr>
          <w:rFonts w:ascii="Times New Roman" w:hAnsi="Times New Roman" w:cs="Times New Roman"/>
          <w:color w:val="000000" w:themeColor="text1"/>
        </w:rPr>
        <w:t xml:space="preserve"> podendo ser folder, prospecto, manual de instruções ou outra documentação técnica que possa fundamentar a análise</w:t>
      </w:r>
      <w:r w:rsidR="00BE3D55" w:rsidRPr="00215A0F">
        <w:rPr>
          <w:rFonts w:ascii="Times New Roman" w:hAnsi="Times New Roman" w:cs="Times New Roman"/>
          <w:color w:val="000000" w:themeColor="text1"/>
        </w:rPr>
        <w:t>.</w:t>
      </w:r>
    </w:p>
    <w:p w14:paraId="05116D69" w14:textId="77777777" w:rsidR="00C2617E" w:rsidRDefault="00C2617E" w:rsidP="00C2617E">
      <w:pPr>
        <w:pStyle w:val="Ttulo2"/>
        <w:spacing w:before="240" w:after="240" w:line="360" w:lineRule="auto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Garantia / validade dos insumos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89EFB37" w14:textId="77777777" w:rsidR="00C2617E" w:rsidRPr="00A06542" w:rsidRDefault="00C2617E" w:rsidP="00C2617E">
      <w:pPr>
        <w:pStyle w:val="PargrafodaLista"/>
        <w:numPr>
          <w:ilvl w:val="0"/>
          <w:numId w:val="30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O prazo de validade mínimo dos bens ou insumos será de 12 (doze) meses, a contar do recebimento definitivo. O fornecedor poderá oferecer um prazo superior ao mencionado, sem custos adicionais para a Administração.</w:t>
      </w:r>
    </w:p>
    <w:p w14:paraId="56181B93" w14:textId="77777777" w:rsidR="00C2617E" w:rsidRPr="00A06542" w:rsidRDefault="00C2617E" w:rsidP="00C2617E">
      <w:pPr>
        <w:pStyle w:val="PargrafodaLista"/>
        <w:numPr>
          <w:ilvl w:val="0"/>
          <w:numId w:val="30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A empresa fornecedora dos bens será responsável pela substituição, troca ou reposição dos materiais eventualmente entregues com defeito, danificados ou não compatíveis com as especificações deste Termo de Referência.</w:t>
      </w:r>
    </w:p>
    <w:p w14:paraId="75E6C698" w14:textId="77777777" w:rsidR="00C2617E" w:rsidRPr="004E7ACB" w:rsidRDefault="00C2617E" w:rsidP="00C2617E">
      <w:pPr>
        <w:pStyle w:val="PargrafodaLista"/>
        <w:numPr>
          <w:ilvl w:val="0"/>
          <w:numId w:val="30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substituição de materiais defeituosos, a reposição deverá ser por outro com </w:t>
      </w: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especificações técnicas iguais ou superiores, mediante aprovação da Contratante e sem custo adicional para a Contratante.</w:t>
      </w:r>
    </w:p>
    <w:p w14:paraId="315DB99E" w14:textId="77777777" w:rsidR="00C2617E" w:rsidRDefault="00C2617E" w:rsidP="00C2617E">
      <w:pPr>
        <w:pStyle w:val="Ttulo2"/>
        <w:spacing w:before="240" w:after="240" w:line="360" w:lineRule="auto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Prazo de vigência do contrato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3A6BABC" w14:textId="77777777" w:rsidR="00C2617E" w:rsidRPr="005F68CB" w:rsidRDefault="00C2617E" w:rsidP="00C2617E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>O contrato terá vigência por 12 (doze) meses em consonância com a legislação específica vigente podendo ser prorrogado por mais 12 (doze) meses</w:t>
      </w:r>
    </w:p>
    <w:p w14:paraId="5E56C46B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PAGAMENTO:</w:t>
      </w:r>
    </w:p>
    <w:p w14:paraId="41BA1C1B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 pagamentos serão efetuados em 30 (trinta) dias após o aceite definitivo do objeto,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contados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adimplemento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contratuais.</w:t>
      </w:r>
    </w:p>
    <w:p w14:paraId="1BD50C7B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RECEBIMENTO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574C87E6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provisório do objeto do contrato será feito no ato da entrega dos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 serviços.</w:t>
      </w:r>
    </w:p>
    <w:p w14:paraId="2E066BC1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definitivo será efetuado por servidor(es) designado(s), mediante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ateste,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conforme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140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14.133/2021.</w:t>
      </w:r>
    </w:p>
    <w:p w14:paraId="4760A5DA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SANÇÕES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14150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INADIMPLEMENTO:</w:t>
      </w:r>
    </w:p>
    <w:p w14:paraId="61C774C2" w14:textId="77777777" w:rsidR="00FF5F35" w:rsidRPr="00141507" w:rsidRDefault="001E2B3B" w:rsidP="00610A50">
      <w:pPr>
        <w:pStyle w:val="Corpodetexto"/>
        <w:numPr>
          <w:ilvl w:val="0"/>
          <w:numId w:val="23"/>
        </w:numPr>
        <w:spacing w:before="240" w:line="360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Pelo inadimplemento total ou parcial na execução do objeto, o contratado sujeitar-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se-á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às seguintes sanções:</w:t>
      </w:r>
    </w:p>
    <w:p w14:paraId="3BD72B24" w14:textId="77777777" w:rsidR="00FF5F35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Multa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(vinte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cento)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atualizado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contratação;</w:t>
      </w:r>
    </w:p>
    <w:p w14:paraId="489ED6CC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spacing w:line="352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Suspensão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temporária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41507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licitação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impedimento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contratar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Administração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 prazo de 02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(dois)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anos;</w:t>
      </w:r>
    </w:p>
    <w:p w14:paraId="10A33E55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67"/>
        </w:tabs>
        <w:spacing w:line="355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Declaração de inidoneidade para licitar ou contratar com a Administração Municipal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direta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indireta,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promovida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reabilitação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perante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municipalidade.</w:t>
      </w:r>
    </w:p>
    <w:p w14:paraId="619AFDC5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 aplicação da multa acima prevista não exime a Contratada de responder por perdas 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danos causados à Municipalidade, por ação ou omissão, observado o que dispõem 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artigos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402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 405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 Código Civil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Brasileiro.</w:t>
      </w:r>
    </w:p>
    <w:p w14:paraId="120665EE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DOTAÇÃO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ORÇAMENTARIA:</w:t>
      </w:r>
    </w:p>
    <w:p w14:paraId="1A811C80" w14:textId="77777777" w:rsidR="009978C9" w:rsidRDefault="001E2B3B" w:rsidP="00AB0AD6">
      <w:pPr>
        <w:pStyle w:val="Corpodetexto"/>
        <w:spacing w:before="240" w:after="240"/>
        <w:ind w:right="3"/>
        <w:jc w:val="both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recursos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contratação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provenientes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fonte</w:t>
      </w:r>
      <w:r w:rsidR="003575DA" w:rsidRPr="00141507">
        <w:rPr>
          <w:rFonts w:ascii="Times New Roman" w:hAnsi="Times New Roman" w:cs="Times New Roman"/>
          <w:color w:val="000000" w:themeColor="text1"/>
        </w:rPr>
        <w:t xml:space="preserve"> </w:t>
      </w:r>
      <w:r w:rsidR="00AB0A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Emenda P</w:t>
      </w:r>
      <w:r w:rsidR="00AB0AD6" w:rsidRPr="009E6399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arlamentar</w:t>
      </w:r>
      <w:r w:rsidR="00AB0A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Nº 11129492000124006</w:t>
      </w:r>
      <w:r w:rsidR="005F68CB">
        <w:rPr>
          <w:rFonts w:ascii="Times New Roman" w:hAnsi="Times New Roman" w:cs="Times New Roman"/>
          <w:color w:val="000000" w:themeColor="text1"/>
        </w:rPr>
        <w:t>.</w:t>
      </w:r>
    </w:p>
    <w:p w14:paraId="662F2773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OBRIGAÇOES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CONTRATADA:</w:t>
      </w:r>
    </w:p>
    <w:p w14:paraId="3A095586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Executar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fielmente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contrato,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documento;</w:t>
      </w:r>
    </w:p>
    <w:p w14:paraId="1322BAFE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line="350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Manter,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habilitação 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qualificação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exigidas;</w:t>
      </w:r>
    </w:p>
    <w:p w14:paraId="366C566D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Reparar, corrigir ou substituir, às suas expensas, no todo ou em parte, o objeto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deste Termo de Referência, em que se verificarem vícios, defeitos ou incorreções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resultantes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fornecimento/prestação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serviço.</w:t>
      </w:r>
    </w:p>
    <w:p w14:paraId="753C5741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CONTRATANTE:</w:t>
      </w:r>
    </w:p>
    <w:p w14:paraId="26EC59A4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Acompanhar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fiscalizar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execução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contrato</w:t>
      </w:r>
      <w:r w:rsid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representante(s) especialmente designado(s), nos termos do art. 117 da Lei nº 14.133/2021;</w:t>
      </w:r>
    </w:p>
    <w:p w14:paraId="5437BA53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Rejeitar, no todo ou em parte, produto/serviço em desacordo com este Termo de Referência;</w:t>
      </w:r>
    </w:p>
    <w:p w14:paraId="78F3E282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Realizar o pagamento ao contrato, na forma e no prazo pactuado;</w:t>
      </w:r>
    </w:p>
    <w:p w14:paraId="3F4585B2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Proporcionar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todas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condiçõ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necessárias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ao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bom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andamento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entrega/execução do objeto;</w:t>
      </w:r>
    </w:p>
    <w:p w14:paraId="6926C9DD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ocorrência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imperfeições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curso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execução do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fixando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 para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sua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correção;</w:t>
      </w:r>
    </w:p>
    <w:p w14:paraId="101B1913" w14:textId="77777777" w:rsidR="00FF5F35" w:rsidRPr="00141507" w:rsidRDefault="001E2B3B" w:rsidP="0025526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aplicação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penalidades,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garantido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contraditório e</w:t>
      </w:r>
      <w:r w:rsidRPr="0025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ampla defesa.</w:t>
      </w:r>
    </w:p>
    <w:p w14:paraId="7A9DB60E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FISCALIZAÇÃO:</w:t>
      </w:r>
    </w:p>
    <w:p w14:paraId="0F5E3438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fiscalização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será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exercida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Contratante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através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funcionário</w:t>
      </w:r>
      <w:r w:rsidRPr="00141507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designado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 Secretaria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Saúde.</w:t>
      </w:r>
    </w:p>
    <w:p w14:paraId="2C060902" w14:textId="77777777" w:rsidR="00FD52CE" w:rsidRDefault="00FD52CE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7E946232" w14:textId="77777777" w:rsidR="00355708" w:rsidRPr="00141507" w:rsidRDefault="00355708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1D881B84" w14:textId="77777777" w:rsidR="002E7A86" w:rsidRPr="00141507" w:rsidRDefault="002E7A86" w:rsidP="00355708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2E7A86" w:rsidRPr="00141507" w:rsidSect="00141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94" w:right="1701" w:bottom="1417" w:left="1701" w:header="416" w:footer="1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92D2" w14:textId="77777777" w:rsidR="00255267" w:rsidRDefault="00255267" w:rsidP="00FF5F35">
      <w:r>
        <w:separator/>
      </w:r>
    </w:p>
  </w:endnote>
  <w:endnote w:type="continuationSeparator" w:id="0">
    <w:p w14:paraId="7A2CC7F8" w14:textId="77777777" w:rsidR="00255267" w:rsidRDefault="00255267" w:rsidP="00FF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4F0" w14:textId="77777777" w:rsidR="00255267" w:rsidRDefault="002552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7F91" w14:textId="77777777" w:rsidR="00255267" w:rsidRDefault="00255267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5E" w14:textId="77777777" w:rsidR="00255267" w:rsidRDefault="002552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53F6" w14:textId="77777777" w:rsidR="00255267" w:rsidRDefault="00255267" w:rsidP="00FF5F35">
      <w:r>
        <w:separator/>
      </w:r>
    </w:p>
  </w:footnote>
  <w:footnote w:type="continuationSeparator" w:id="0">
    <w:p w14:paraId="22ADAB25" w14:textId="77777777" w:rsidR="00255267" w:rsidRDefault="00255267" w:rsidP="00FF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EA33" w14:textId="77777777" w:rsidR="00255267" w:rsidRDefault="002552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C309" w14:textId="67FA4F24" w:rsidR="00255267" w:rsidRDefault="002552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E853384" wp14:editId="3716438B">
          <wp:simplePos x="0" y="0"/>
          <wp:positionH relativeFrom="page">
            <wp:posOffset>5876386</wp:posOffset>
          </wp:positionH>
          <wp:positionV relativeFrom="page">
            <wp:posOffset>388189</wp:posOffset>
          </wp:positionV>
          <wp:extent cx="1099965" cy="690113"/>
          <wp:effectExtent l="19050" t="0" r="4935" b="0"/>
          <wp:wrapNone/>
          <wp:docPr id="23" name="image2.png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157" cy="689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6C29F73F" wp14:editId="20FF1E3B">
          <wp:simplePos x="0" y="0"/>
          <wp:positionH relativeFrom="page">
            <wp:posOffset>720090</wp:posOffset>
          </wp:positionH>
          <wp:positionV relativeFrom="page">
            <wp:posOffset>313689</wp:posOffset>
          </wp:positionV>
          <wp:extent cx="727710" cy="83692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7710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3BB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377819" wp14:editId="1384C806">
              <wp:simplePos x="0" y="0"/>
              <wp:positionH relativeFrom="page">
                <wp:posOffset>1840865</wp:posOffset>
              </wp:positionH>
              <wp:positionV relativeFrom="page">
                <wp:posOffset>251460</wp:posOffset>
              </wp:positionV>
              <wp:extent cx="3874135" cy="969010"/>
              <wp:effectExtent l="0" t="0" r="0" b="0"/>
              <wp:wrapNone/>
              <wp:docPr id="18912132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75FE7" w14:textId="77777777" w:rsidR="00255267" w:rsidRDefault="00255267">
                          <w:pPr>
                            <w:spacing w:line="385" w:lineRule="exact"/>
                            <w:ind w:left="6" w:right="6"/>
                            <w:jc w:val="center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PETRÓPOLIS</w:t>
                          </w:r>
                        </w:p>
                        <w:p w14:paraId="3AF6EE78" w14:textId="77777777" w:rsidR="00255267" w:rsidRDefault="00255267">
                          <w:pPr>
                            <w:ind w:left="533" w:right="525" w:hanging="6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SECRETARIA MUNICIPAL DE SAÚDE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GABINETE DO SECRETÁRIO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SUPERINTENDÊNCIA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ATENÇÃO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778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4.95pt;margin-top:19.8pt;width:305.05pt;height:7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/41wEAAJEDAAAOAAAAZHJzL2Uyb0RvYy54bWysU9tu2zAMfR+wfxD0vjhpt6414hRdiw4D&#10;um5Atw+QZSkWZosaqcTOvn6UHKe7vA17EWiKOjznkF5fj30n9gbJga/karGUwngNjfPbSn79cv/q&#10;UgqKyjeqA28qeTAkrzcvX6yHUJozaKFrDAoG8VQOoZJtjKEsCtKt6RUtIBjPlxawV5E/cVs0qAZG&#10;77vibLm8KAbAJiBoQ8TZu+lSbjK+tUbHT9aSiaKrJHOL+cR81uksNmtVblGF1ukjDfUPLHrlPDc9&#10;Qd2pqMQO3V9QvdMIBDYuNPQFWOu0yRpYzWr5h5qnVgWTtbA5FE420f+D1Y/7p/AZRRzfwcgDzCIo&#10;PID+RsLDbav81twgwtAa1XDjVbKsGAKVx6fJaiopgdTDR2h4yGoXIQONFvvkCusUjM4DOJxMN2MU&#10;mpPnl29fr87fSKH57uriim3ILVQ5vw5I8b2BXqSgkshDzehq/0AxsVHlXJKaebh3XZcH2/nfElyY&#10;Mpl9IjxRj2M9cnVSUUNzYB0I057wXnPQAv6QYuAdqSR93yk0UnQfPHuRFmoOcA7qOVBe89NKRimm&#10;8DZOi7cL6LYtI09ue7hhv6zLUp5ZHHny3LPC446mxfr1O1c9/0mbnwAAAP//AwBQSwMEFAAGAAgA&#10;AAAhAGXUlaDeAAAACgEAAA8AAABkcnMvZG93bnJldi54bWxMj8FOwzAQRO9I/QdrK3GjNkGK6hCn&#10;qhCckBBpOHB0YjexGq9D7Lbh71lOcFzt08ybcrf4kV3sHF1ABfcbAcxiF4zDXsFH83K3BRaTRqPH&#10;gFbBt42wq1Y3pS5MuGJtL4fUMwrBWGgFQ0pTwXnsBut13ITJIv2OYfY60Tn33Mz6SuF+5JkQOffa&#10;ITUMerJPg+1Oh7NXsP/E+tl9vbXv9bF2TSMFvuYnpW7Xy/4RWLJL+oPhV5/UoSKnNpzRRDYqyLZS&#10;EqrgQebACJBC0LiWSJllwKuS/59Q/QAAAP//AwBQSwECLQAUAAYACAAAACEAtoM4kv4AAADhAQAA&#10;EwAAAAAAAAAAAAAAAAAAAAAAW0NvbnRlbnRfVHlwZXNdLnhtbFBLAQItABQABgAIAAAAIQA4/SH/&#10;1gAAAJQBAAALAAAAAAAAAAAAAAAAAC8BAABfcmVscy8ucmVsc1BLAQItABQABgAIAAAAIQD8zO/4&#10;1wEAAJEDAAAOAAAAAAAAAAAAAAAAAC4CAABkcnMvZTJvRG9jLnhtbFBLAQItABQABgAIAAAAIQBl&#10;1JWg3gAAAAoBAAAPAAAAAAAAAAAAAAAAADEEAABkcnMvZG93bnJldi54bWxQSwUGAAAAAAQABADz&#10;AAAAPAUAAAAA&#10;" filled="f" stroked="f">
              <v:textbox inset="0,0,0,0">
                <w:txbxContent>
                  <w:p w14:paraId="49075FE7" w14:textId="77777777" w:rsidR="00255267" w:rsidRDefault="00255267">
                    <w:pPr>
                      <w:spacing w:line="385" w:lineRule="exact"/>
                      <w:ind w:left="6" w:right="6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PETRÓPOLIS</w:t>
                    </w:r>
                  </w:p>
                  <w:p w14:paraId="3AF6EE78" w14:textId="77777777" w:rsidR="00255267" w:rsidRDefault="00255267">
                    <w:pPr>
                      <w:ind w:left="533" w:right="525" w:hanging="6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SECRETARIA MUNICIPAL DE SAÚDE</w:t>
                    </w:r>
                    <w:r>
                      <w:rPr>
                        <w:rFonts w:ascii="Calibri" w:hAns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GABINETE DO SECRETÁRIO</w:t>
                    </w:r>
                    <w:r>
                      <w:rPr>
                        <w:rFonts w:ascii="Calibri" w:hAns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SUPERINTENDÊNCIA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ATENÇÃO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9525" w14:textId="77777777" w:rsidR="00255267" w:rsidRDefault="00255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D9"/>
    <w:multiLevelType w:val="hybridMultilevel"/>
    <w:tmpl w:val="638A3F32"/>
    <w:lvl w:ilvl="0" w:tplc="BB7C1548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BEEAE9E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6090F670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E2FA1826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BA028FC4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FEF81D92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DC52EC78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7DCC82FA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238AC03A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585FF2"/>
    <w:multiLevelType w:val="multilevel"/>
    <w:tmpl w:val="09A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74E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6FC9"/>
    <w:multiLevelType w:val="multilevel"/>
    <w:tmpl w:val="6F00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14597"/>
    <w:multiLevelType w:val="multilevel"/>
    <w:tmpl w:val="3A900F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8C7E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231CBD"/>
    <w:multiLevelType w:val="hybridMultilevel"/>
    <w:tmpl w:val="7B06F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8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F57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FA0202"/>
    <w:multiLevelType w:val="hybridMultilevel"/>
    <w:tmpl w:val="58EE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50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74CD1"/>
    <w:multiLevelType w:val="multilevel"/>
    <w:tmpl w:val="7D0E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B55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406DE"/>
    <w:multiLevelType w:val="hybridMultilevel"/>
    <w:tmpl w:val="FFB8EA10"/>
    <w:lvl w:ilvl="0" w:tplc="20A8540E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EEBA30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3CFAD674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D062D58A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881C0F7A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2E8AE20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8F6233CC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99027F30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BD3E6750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ABB1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8704AB"/>
    <w:multiLevelType w:val="hybridMultilevel"/>
    <w:tmpl w:val="971A6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04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364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147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27605A"/>
    <w:multiLevelType w:val="hybridMultilevel"/>
    <w:tmpl w:val="319CA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02A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15C8B"/>
    <w:multiLevelType w:val="hybridMultilevel"/>
    <w:tmpl w:val="FFC2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D51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EB49E8"/>
    <w:multiLevelType w:val="hybridMultilevel"/>
    <w:tmpl w:val="3D0EB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2045"/>
    <w:multiLevelType w:val="hybridMultilevel"/>
    <w:tmpl w:val="5A6A02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8627B1"/>
    <w:multiLevelType w:val="hybridMultilevel"/>
    <w:tmpl w:val="CE7E44BE"/>
    <w:lvl w:ilvl="0" w:tplc="7A989B7E">
      <w:start w:val="1"/>
      <w:numFmt w:val="decimal"/>
      <w:lvlText w:val="%1."/>
      <w:lvlJc w:val="left"/>
      <w:pPr>
        <w:ind w:left="1277" w:hanging="358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AAB6BB72">
      <w:numFmt w:val="bullet"/>
      <w:lvlText w:val="•"/>
      <w:lvlJc w:val="left"/>
      <w:pPr>
        <w:ind w:left="2186" w:hanging="358"/>
      </w:pPr>
      <w:rPr>
        <w:rFonts w:hint="default"/>
        <w:lang w:val="pt-PT" w:eastAsia="en-US" w:bidi="ar-SA"/>
      </w:rPr>
    </w:lvl>
    <w:lvl w:ilvl="2" w:tplc="B5843B18">
      <w:numFmt w:val="bullet"/>
      <w:lvlText w:val="•"/>
      <w:lvlJc w:val="left"/>
      <w:pPr>
        <w:ind w:left="3093" w:hanging="358"/>
      </w:pPr>
      <w:rPr>
        <w:rFonts w:hint="default"/>
        <w:lang w:val="pt-PT" w:eastAsia="en-US" w:bidi="ar-SA"/>
      </w:rPr>
    </w:lvl>
    <w:lvl w:ilvl="3" w:tplc="944A8720">
      <w:numFmt w:val="bullet"/>
      <w:lvlText w:val="•"/>
      <w:lvlJc w:val="left"/>
      <w:pPr>
        <w:ind w:left="3999" w:hanging="358"/>
      </w:pPr>
      <w:rPr>
        <w:rFonts w:hint="default"/>
        <w:lang w:val="pt-PT" w:eastAsia="en-US" w:bidi="ar-SA"/>
      </w:rPr>
    </w:lvl>
    <w:lvl w:ilvl="4" w:tplc="47563460">
      <w:numFmt w:val="bullet"/>
      <w:lvlText w:val="•"/>
      <w:lvlJc w:val="left"/>
      <w:pPr>
        <w:ind w:left="4906" w:hanging="358"/>
      </w:pPr>
      <w:rPr>
        <w:rFonts w:hint="default"/>
        <w:lang w:val="pt-PT" w:eastAsia="en-US" w:bidi="ar-SA"/>
      </w:rPr>
    </w:lvl>
    <w:lvl w:ilvl="5" w:tplc="91BC5FF0">
      <w:numFmt w:val="bullet"/>
      <w:lvlText w:val="•"/>
      <w:lvlJc w:val="left"/>
      <w:pPr>
        <w:ind w:left="5813" w:hanging="358"/>
      </w:pPr>
      <w:rPr>
        <w:rFonts w:hint="default"/>
        <w:lang w:val="pt-PT" w:eastAsia="en-US" w:bidi="ar-SA"/>
      </w:rPr>
    </w:lvl>
    <w:lvl w:ilvl="6" w:tplc="D34EF058">
      <w:numFmt w:val="bullet"/>
      <w:lvlText w:val="•"/>
      <w:lvlJc w:val="left"/>
      <w:pPr>
        <w:ind w:left="6719" w:hanging="358"/>
      </w:pPr>
      <w:rPr>
        <w:rFonts w:hint="default"/>
        <w:lang w:val="pt-PT" w:eastAsia="en-US" w:bidi="ar-SA"/>
      </w:rPr>
    </w:lvl>
    <w:lvl w:ilvl="7" w:tplc="2422A114">
      <w:numFmt w:val="bullet"/>
      <w:lvlText w:val="•"/>
      <w:lvlJc w:val="left"/>
      <w:pPr>
        <w:ind w:left="7626" w:hanging="358"/>
      </w:pPr>
      <w:rPr>
        <w:rFonts w:hint="default"/>
        <w:lang w:val="pt-PT" w:eastAsia="en-US" w:bidi="ar-SA"/>
      </w:rPr>
    </w:lvl>
    <w:lvl w:ilvl="8" w:tplc="F21833A0">
      <w:numFmt w:val="bullet"/>
      <w:lvlText w:val="•"/>
      <w:lvlJc w:val="left"/>
      <w:pPr>
        <w:ind w:left="8533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6E352D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F138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6976B7"/>
    <w:multiLevelType w:val="hybridMultilevel"/>
    <w:tmpl w:val="A5F8C60E"/>
    <w:lvl w:ilvl="0" w:tplc="A0126E52">
      <w:start w:val="4"/>
      <w:numFmt w:val="decimal"/>
      <w:lvlText w:val="%1"/>
      <w:lvlJc w:val="left"/>
      <w:pPr>
        <w:ind w:left="824" w:hanging="473"/>
      </w:pPr>
      <w:rPr>
        <w:rFonts w:hint="default"/>
        <w:lang w:val="pt-PT" w:eastAsia="en-US" w:bidi="ar-SA"/>
      </w:rPr>
    </w:lvl>
    <w:lvl w:ilvl="1" w:tplc="BB24F1D0">
      <w:numFmt w:val="none"/>
      <w:lvlText w:val=""/>
      <w:lvlJc w:val="left"/>
      <w:pPr>
        <w:tabs>
          <w:tab w:val="num" w:pos="360"/>
        </w:tabs>
      </w:pPr>
    </w:lvl>
    <w:lvl w:ilvl="2" w:tplc="5316EE34">
      <w:numFmt w:val="bullet"/>
      <w:lvlText w:val=""/>
      <w:lvlJc w:val="left"/>
      <w:pPr>
        <w:ind w:left="1073" w:hanging="360"/>
      </w:pPr>
      <w:rPr>
        <w:rFonts w:hint="default"/>
        <w:w w:val="100"/>
        <w:lang w:val="pt-PT" w:eastAsia="en-US" w:bidi="ar-SA"/>
      </w:rPr>
    </w:lvl>
    <w:lvl w:ilvl="3" w:tplc="CC80CFFA"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4" w:tplc="2794D306"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 w:tplc="0674DAD8">
      <w:numFmt w:val="bullet"/>
      <w:lvlText w:val="•"/>
      <w:lvlJc w:val="left"/>
      <w:pPr>
        <w:ind w:left="5198" w:hanging="360"/>
      </w:pPr>
      <w:rPr>
        <w:rFonts w:hint="default"/>
        <w:lang w:val="pt-PT" w:eastAsia="en-US" w:bidi="ar-SA"/>
      </w:rPr>
    </w:lvl>
    <w:lvl w:ilvl="6" w:tplc="3340651A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7" w:tplc="23421474">
      <w:numFmt w:val="bullet"/>
      <w:lvlText w:val="•"/>
      <w:lvlJc w:val="left"/>
      <w:pPr>
        <w:ind w:left="7257" w:hanging="360"/>
      </w:pPr>
      <w:rPr>
        <w:rFonts w:hint="default"/>
        <w:lang w:val="pt-PT" w:eastAsia="en-US" w:bidi="ar-SA"/>
      </w:rPr>
    </w:lvl>
    <w:lvl w:ilvl="8" w:tplc="0E1E1846">
      <w:numFmt w:val="bullet"/>
      <w:lvlText w:val="•"/>
      <w:lvlJc w:val="left"/>
      <w:pPr>
        <w:ind w:left="8287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7A39394C"/>
    <w:multiLevelType w:val="multilevel"/>
    <w:tmpl w:val="CF1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601269">
    <w:abstractNumId w:val="13"/>
  </w:num>
  <w:num w:numId="2" w16cid:durableId="1171212163">
    <w:abstractNumId w:val="0"/>
  </w:num>
  <w:num w:numId="3" w16cid:durableId="1071076511">
    <w:abstractNumId w:val="28"/>
  </w:num>
  <w:num w:numId="4" w16cid:durableId="607397356">
    <w:abstractNumId w:val="25"/>
  </w:num>
  <w:num w:numId="5" w16cid:durableId="1961567010">
    <w:abstractNumId w:val="27"/>
  </w:num>
  <w:num w:numId="6" w16cid:durableId="509026605">
    <w:abstractNumId w:val="22"/>
  </w:num>
  <w:num w:numId="7" w16cid:durableId="1083339152">
    <w:abstractNumId w:val="5"/>
  </w:num>
  <w:num w:numId="8" w16cid:durableId="2116632787">
    <w:abstractNumId w:val="12"/>
  </w:num>
  <w:num w:numId="9" w16cid:durableId="809597870">
    <w:abstractNumId w:val="20"/>
  </w:num>
  <w:num w:numId="10" w16cid:durableId="1634825789">
    <w:abstractNumId w:val="8"/>
  </w:num>
  <w:num w:numId="11" w16cid:durableId="654837995">
    <w:abstractNumId w:val="17"/>
  </w:num>
  <w:num w:numId="12" w16cid:durableId="1353266151">
    <w:abstractNumId w:val="7"/>
  </w:num>
  <w:num w:numId="13" w16cid:durableId="355810070">
    <w:abstractNumId w:val="2"/>
  </w:num>
  <w:num w:numId="14" w16cid:durableId="499856777">
    <w:abstractNumId w:val="26"/>
  </w:num>
  <w:num w:numId="15" w16cid:durableId="205146867">
    <w:abstractNumId w:val="14"/>
  </w:num>
  <w:num w:numId="16" w16cid:durableId="304310719">
    <w:abstractNumId w:val="10"/>
  </w:num>
  <w:num w:numId="17" w16cid:durableId="213396617">
    <w:abstractNumId w:val="16"/>
  </w:num>
  <w:num w:numId="18" w16cid:durableId="1155298883">
    <w:abstractNumId w:val="18"/>
  </w:num>
  <w:num w:numId="19" w16cid:durableId="1631087897">
    <w:abstractNumId w:val="21"/>
  </w:num>
  <w:num w:numId="20" w16cid:durableId="1959792534">
    <w:abstractNumId w:val="9"/>
  </w:num>
  <w:num w:numId="21" w16cid:durableId="1029599660">
    <w:abstractNumId w:val="6"/>
  </w:num>
  <w:num w:numId="22" w16cid:durableId="529729053">
    <w:abstractNumId w:val="24"/>
  </w:num>
  <w:num w:numId="23" w16cid:durableId="1343556938">
    <w:abstractNumId w:val="23"/>
  </w:num>
  <w:num w:numId="24" w16cid:durableId="2020812947">
    <w:abstractNumId w:val="4"/>
  </w:num>
  <w:num w:numId="25" w16cid:durableId="253981355">
    <w:abstractNumId w:val="3"/>
  </w:num>
  <w:num w:numId="26" w16cid:durableId="239484940">
    <w:abstractNumId w:val="1"/>
  </w:num>
  <w:num w:numId="27" w16cid:durableId="698513371">
    <w:abstractNumId w:val="19"/>
  </w:num>
  <w:num w:numId="28" w16cid:durableId="1310405507">
    <w:abstractNumId w:val="29"/>
  </w:num>
  <w:num w:numId="29" w16cid:durableId="2017614363">
    <w:abstractNumId w:val="11"/>
  </w:num>
  <w:num w:numId="30" w16cid:durableId="1570118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5"/>
    <w:rsid w:val="00036178"/>
    <w:rsid w:val="00037B24"/>
    <w:rsid w:val="0005702A"/>
    <w:rsid w:val="00076398"/>
    <w:rsid w:val="0008678E"/>
    <w:rsid w:val="000A4DFC"/>
    <w:rsid w:val="000F44BB"/>
    <w:rsid w:val="001349CE"/>
    <w:rsid w:val="00141507"/>
    <w:rsid w:val="0016022A"/>
    <w:rsid w:val="00182BD0"/>
    <w:rsid w:val="001B55AB"/>
    <w:rsid w:val="001E2B3B"/>
    <w:rsid w:val="001E795D"/>
    <w:rsid w:val="001F629A"/>
    <w:rsid w:val="00206940"/>
    <w:rsid w:val="00233731"/>
    <w:rsid w:val="002507A9"/>
    <w:rsid w:val="00255267"/>
    <w:rsid w:val="00257504"/>
    <w:rsid w:val="002652AA"/>
    <w:rsid w:val="00285CCB"/>
    <w:rsid w:val="002B7763"/>
    <w:rsid w:val="002E7A86"/>
    <w:rsid w:val="00323752"/>
    <w:rsid w:val="00350CDA"/>
    <w:rsid w:val="00355708"/>
    <w:rsid w:val="00356108"/>
    <w:rsid w:val="003575DA"/>
    <w:rsid w:val="00365D8D"/>
    <w:rsid w:val="00393BC4"/>
    <w:rsid w:val="003F1C20"/>
    <w:rsid w:val="003F3A4F"/>
    <w:rsid w:val="00432104"/>
    <w:rsid w:val="0044283A"/>
    <w:rsid w:val="00442D3C"/>
    <w:rsid w:val="00494A21"/>
    <w:rsid w:val="004954CB"/>
    <w:rsid w:val="004C700F"/>
    <w:rsid w:val="00504B32"/>
    <w:rsid w:val="005357CB"/>
    <w:rsid w:val="005374D0"/>
    <w:rsid w:val="00544712"/>
    <w:rsid w:val="005B14A6"/>
    <w:rsid w:val="005B4239"/>
    <w:rsid w:val="005C2E43"/>
    <w:rsid w:val="005C3BFA"/>
    <w:rsid w:val="005D4F41"/>
    <w:rsid w:val="005F68CB"/>
    <w:rsid w:val="00601DBD"/>
    <w:rsid w:val="00605A6D"/>
    <w:rsid w:val="00610A50"/>
    <w:rsid w:val="00616E9F"/>
    <w:rsid w:val="006343E6"/>
    <w:rsid w:val="0070434F"/>
    <w:rsid w:val="007062BC"/>
    <w:rsid w:val="00724340"/>
    <w:rsid w:val="00726BBC"/>
    <w:rsid w:val="0073184C"/>
    <w:rsid w:val="00742428"/>
    <w:rsid w:val="007B65C0"/>
    <w:rsid w:val="007C5D5E"/>
    <w:rsid w:val="007F6E64"/>
    <w:rsid w:val="00806FCC"/>
    <w:rsid w:val="008422AE"/>
    <w:rsid w:val="00863DAF"/>
    <w:rsid w:val="0089606F"/>
    <w:rsid w:val="008C147D"/>
    <w:rsid w:val="008F0DF4"/>
    <w:rsid w:val="0090361B"/>
    <w:rsid w:val="00924994"/>
    <w:rsid w:val="009273BC"/>
    <w:rsid w:val="00933563"/>
    <w:rsid w:val="00960EC5"/>
    <w:rsid w:val="009978C9"/>
    <w:rsid w:val="009A5B89"/>
    <w:rsid w:val="009B39F9"/>
    <w:rsid w:val="00A07302"/>
    <w:rsid w:val="00A24608"/>
    <w:rsid w:val="00A6619C"/>
    <w:rsid w:val="00A83B63"/>
    <w:rsid w:val="00AB0AD6"/>
    <w:rsid w:val="00B06CD7"/>
    <w:rsid w:val="00B41D8D"/>
    <w:rsid w:val="00B44CB7"/>
    <w:rsid w:val="00B62E8B"/>
    <w:rsid w:val="00B860E3"/>
    <w:rsid w:val="00B9222D"/>
    <w:rsid w:val="00B97DCD"/>
    <w:rsid w:val="00BD70A1"/>
    <w:rsid w:val="00BE392D"/>
    <w:rsid w:val="00BE3D55"/>
    <w:rsid w:val="00C2617E"/>
    <w:rsid w:val="00C775E2"/>
    <w:rsid w:val="00C8203C"/>
    <w:rsid w:val="00C97B2E"/>
    <w:rsid w:val="00C97E44"/>
    <w:rsid w:val="00CB1BF4"/>
    <w:rsid w:val="00CC07C0"/>
    <w:rsid w:val="00CC660F"/>
    <w:rsid w:val="00CC7E99"/>
    <w:rsid w:val="00D25159"/>
    <w:rsid w:val="00D455C1"/>
    <w:rsid w:val="00D460DC"/>
    <w:rsid w:val="00D53BB0"/>
    <w:rsid w:val="00D60CCC"/>
    <w:rsid w:val="00D66F2F"/>
    <w:rsid w:val="00DE5967"/>
    <w:rsid w:val="00DE77E3"/>
    <w:rsid w:val="00E15E46"/>
    <w:rsid w:val="00E57FC9"/>
    <w:rsid w:val="00E6153D"/>
    <w:rsid w:val="00EA383A"/>
    <w:rsid w:val="00EF3A81"/>
    <w:rsid w:val="00F0120C"/>
    <w:rsid w:val="00F237E8"/>
    <w:rsid w:val="00F26509"/>
    <w:rsid w:val="00F31F0A"/>
    <w:rsid w:val="00F52DEA"/>
    <w:rsid w:val="00F874A9"/>
    <w:rsid w:val="00FD52CE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4D111C91"/>
  <w15:docId w15:val="{395383C8-9F81-417D-99D0-68C6BA3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F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41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15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9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5F3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5F35"/>
    <w:pPr>
      <w:ind w:left="1073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F35"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rsid w:val="00FF5F35"/>
    <w:pPr>
      <w:spacing w:before="9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BF4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C775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41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41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5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1507"/>
    <w:rPr>
      <w:rFonts w:ascii="Arial MT" w:eastAsia="Arial MT" w:hAnsi="Arial MT" w:cs="Arial MT"/>
      <w:lang w:val="pt-PT"/>
    </w:rPr>
  </w:style>
  <w:style w:type="paragraph" w:customStyle="1" w:styleId="Ttulo21">
    <w:name w:val="Título 21"/>
    <w:basedOn w:val="Normal"/>
    <w:next w:val="Normal"/>
    <w:qFormat/>
    <w:rsid w:val="00E57FC9"/>
    <w:pPr>
      <w:keepNext/>
      <w:widowControl/>
      <w:suppressAutoHyphens/>
      <w:autoSpaceDE/>
      <w:autoSpaceDN/>
      <w:jc w:val="center"/>
      <w:outlineLvl w:val="1"/>
    </w:pPr>
    <w:rPr>
      <w:rFonts w:ascii="Calibri" w:eastAsia="Times New Roman" w:hAnsi="Calibri" w:cs="Times New Roman"/>
      <w:sz w:val="28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9CE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49CE"/>
    <w:rPr>
      <w:rFonts w:ascii="Arial MT" w:eastAsia="Arial MT" w:hAnsi="Arial MT" w:cs="Arial MT"/>
      <w:sz w:val="24"/>
      <w:szCs w:val="24"/>
      <w:lang w:val="pt-PT"/>
    </w:rPr>
  </w:style>
  <w:style w:type="paragraph" w:customStyle="1" w:styleId="xerox-product-specifications-custom-1-x-itemname">
    <w:name w:val="xerox-product-specifications-custom-1-x-itemname"/>
    <w:basedOn w:val="Normal"/>
    <w:rsid w:val="001349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349CE"/>
    <w:rPr>
      <w:b/>
      <w:bCs/>
    </w:rPr>
  </w:style>
  <w:style w:type="character" w:customStyle="1" w:styleId="a-list-item">
    <w:name w:val="a-list-item"/>
    <w:basedOn w:val="Fontepargpadro"/>
    <w:rsid w:val="0013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2025-08-05T16:41:00Z</cp:lastPrinted>
  <dcterms:created xsi:type="dcterms:W3CDTF">2025-08-26T15:00:00Z</dcterms:created>
  <dcterms:modified xsi:type="dcterms:W3CDTF">2025-08-26T15:00:00Z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