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1F148" w14:textId="2B28F4E9" w:rsidR="00530440" w:rsidRPr="00530440" w:rsidRDefault="00530440" w:rsidP="00530440">
      <w:pPr>
        <w:ind w:left="1080" w:hanging="720"/>
        <w:rPr>
          <w:rFonts w:ascii="Arial" w:hAnsi="Arial" w:cs="Arial"/>
          <w:sz w:val="16"/>
          <w:szCs w:val="16"/>
        </w:rPr>
      </w:pPr>
    </w:p>
    <w:p w14:paraId="12131F38" w14:textId="1F8F67F2" w:rsidR="00530440" w:rsidRPr="00530440" w:rsidRDefault="00530440" w:rsidP="00530440">
      <w:pPr>
        <w:jc w:val="both"/>
        <w:rPr>
          <w:rFonts w:ascii="Arial" w:hAnsi="Arial" w:cs="Arial"/>
          <w:b/>
          <w:bCs/>
          <w:sz w:val="16"/>
          <w:szCs w:val="16"/>
        </w:rPr>
      </w:pPr>
      <w:r w:rsidRPr="00530440">
        <w:rPr>
          <w:rFonts w:ascii="Arial" w:hAnsi="Arial" w:cs="Arial"/>
          <w:b/>
          <w:bCs/>
          <w:sz w:val="16"/>
          <w:szCs w:val="16"/>
        </w:rPr>
        <w:t>PROCESSO: TCE – RJ Nº 238.197-8/19</w:t>
      </w:r>
    </w:p>
    <w:p w14:paraId="5B93835B" w14:textId="381BDDA4" w:rsidR="00530440" w:rsidRPr="00530440" w:rsidRDefault="00530440" w:rsidP="00530440">
      <w:pPr>
        <w:jc w:val="both"/>
        <w:rPr>
          <w:rFonts w:ascii="Arial" w:hAnsi="Arial" w:cs="Arial"/>
          <w:b/>
          <w:bCs/>
          <w:sz w:val="16"/>
          <w:szCs w:val="16"/>
        </w:rPr>
      </w:pPr>
      <w:r w:rsidRPr="00530440">
        <w:rPr>
          <w:rFonts w:ascii="Arial" w:hAnsi="Arial" w:cs="Arial"/>
          <w:b/>
          <w:bCs/>
          <w:sz w:val="16"/>
          <w:szCs w:val="16"/>
        </w:rPr>
        <w:t>ORIGEM: PREFEITURA MUNICIPAL DE PETRÓPOLIS</w:t>
      </w:r>
    </w:p>
    <w:p w14:paraId="2012C122" w14:textId="19C83BF7" w:rsidR="00530440" w:rsidRPr="00530440" w:rsidRDefault="00530440" w:rsidP="00530440">
      <w:pPr>
        <w:jc w:val="both"/>
        <w:rPr>
          <w:rFonts w:ascii="Arial" w:hAnsi="Arial" w:cs="Arial"/>
          <w:b/>
          <w:bCs/>
          <w:sz w:val="16"/>
          <w:szCs w:val="16"/>
        </w:rPr>
      </w:pPr>
      <w:r w:rsidRPr="00530440">
        <w:rPr>
          <w:rFonts w:ascii="Arial" w:hAnsi="Arial" w:cs="Arial"/>
          <w:b/>
          <w:bCs/>
          <w:sz w:val="16"/>
          <w:szCs w:val="16"/>
        </w:rPr>
        <w:t>ASSUNTO: EDITAL DE PREGÃO PRESENCIAL</w:t>
      </w:r>
    </w:p>
    <w:p w14:paraId="3E58C928" w14:textId="261A3BDB" w:rsidR="00530440" w:rsidRPr="00530440" w:rsidRDefault="00530440" w:rsidP="00530440">
      <w:pPr>
        <w:jc w:val="both"/>
        <w:rPr>
          <w:rFonts w:ascii="Arial" w:hAnsi="Arial" w:cs="Arial"/>
          <w:b/>
          <w:bCs/>
          <w:sz w:val="16"/>
          <w:szCs w:val="16"/>
        </w:rPr>
      </w:pPr>
      <w:r w:rsidRPr="00530440">
        <w:rPr>
          <w:rFonts w:ascii="Arial" w:hAnsi="Arial" w:cs="Arial"/>
          <w:b/>
          <w:bCs/>
          <w:sz w:val="16"/>
          <w:szCs w:val="16"/>
        </w:rPr>
        <w:t xml:space="preserve">MODALIDADE: PREGÃO PRESENCIAL Nº: 45/2019 </w:t>
      </w:r>
    </w:p>
    <w:p w14:paraId="6F29EB87" w14:textId="3F5395B8" w:rsidR="00530440" w:rsidRPr="00530440" w:rsidRDefault="00530440" w:rsidP="00530440">
      <w:pPr>
        <w:jc w:val="both"/>
        <w:rPr>
          <w:rFonts w:ascii="Arial" w:hAnsi="Arial" w:cs="Arial"/>
          <w:b/>
          <w:bCs/>
          <w:sz w:val="16"/>
          <w:szCs w:val="16"/>
        </w:rPr>
      </w:pPr>
      <w:r w:rsidRPr="00530440">
        <w:rPr>
          <w:rFonts w:ascii="Arial" w:hAnsi="Arial" w:cs="Arial"/>
          <w:b/>
          <w:bCs/>
          <w:sz w:val="16"/>
          <w:szCs w:val="16"/>
        </w:rPr>
        <w:t xml:space="preserve">PROCESSO ADMINISTRATIVO Nº: 53.347/18 </w:t>
      </w:r>
    </w:p>
    <w:p w14:paraId="363D9EBE" w14:textId="04A395B4" w:rsidR="00530440" w:rsidRPr="00530440" w:rsidRDefault="00530440" w:rsidP="00530440">
      <w:pPr>
        <w:jc w:val="both"/>
        <w:rPr>
          <w:rFonts w:ascii="Arial" w:hAnsi="Arial" w:cs="Arial"/>
          <w:color w:val="333333"/>
          <w:sz w:val="16"/>
          <w:szCs w:val="16"/>
          <w:shd w:val="clear" w:color="auto" w:fill="F5F5F5"/>
        </w:rPr>
      </w:pPr>
      <w:r w:rsidRPr="00530440">
        <w:rPr>
          <w:rFonts w:ascii="Arial" w:hAnsi="Arial" w:cs="Arial"/>
          <w:b/>
          <w:bCs/>
          <w:sz w:val="16"/>
          <w:szCs w:val="16"/>
        </w:rPr>
        <w:t xml:space="preserve">OBJETO: </w:t>
      </w:r>
      <w:r w:rsidRPr="00530440">
        <w:rPr>
          <w:rFonts w:ascii="Arial" w:hAnsi="Arial" w:cs="Arial"/>
          <w:b/>
          <w:bCs/>
          <w:color w:val="333333"/>
          <w:sz w:val="16"/>
          <w:szCs w:val="16"/>
          <w:shd w:val="clear" w:color="auto" w:fill="F5F5F5"/>
        </w:rPr>
        <w:t>REGISTRO DE PREÇOS, PELO PERÍODO DE 12 (DOZE) MESES, PARA CONTRATAÇÃO DE EMPRESA PARA A EXECUÇÃO DE SERVIÇOS DE AMPLIAÇÃO E EFICIENTIZAÇÃO DO PARQUE DE ILUMINAÇÃO PÚBLICA DO MUNICIPIO DE PETROPOLIS, COM FORNECIMENTO DE MATERIAIS, MÃO DE OBRA, EQUIPAMENTOS E FERRAMENTAL NECESSÁRIOS PARA A EXECUÇÃO DOS MESMOS</w:t>
      </w:r>
      <w:r w:rsidRPr="00530440">
        <w:rPr>
          <w:rFonts w:ascii="Arial" w:hAnsi="Arial" w:cs="Arial"/>
          <w:color w:val="333333"/>
          <w:sz w:val="16"/>
          <w:szCs w:val="16"/>
          <w:shd w:val="clear" w:color="auto" w:fill="F5F5F5"/>
        </w:rPr>
        <w:t>.</w:t>
      </w:r>
    </w:p>
    <w:p w14:paraId="12B2D669" w14:textId="71D84093" w:rsidR="00530440" w:rsidRPr="00530440" w:rsidRDefault="00530440" w:rsidP="00530440">
      <w:pPr>
        <w:jc w:val="both"/>
        <w:rPr>
          <w:rFonts w:ascii="Arial" w:hAnsi="Arial" w:cs="Arial"/>
          <w:color w:val="333333"/>
          <w:sz w:val="16"/>
          <w:szCs w:val="16"/>
          <w:shd w:val="clear" w:color="auto" w:fill="F5F5F5"/>
        </w:rPr>
      </w:pPr>
    </w:p>
    <w:p w14:paraId="10323DB8" w14:textId="04F10EB6" w:rsidR="00530440" w:rsidRPr="00053B43" w:rsidRDefault="00530440" w:rsidP="00530440">
      <w:pPr>
        <w:jc w:val="center"/>
        <w:rPr>
          <w:rFonts w:ascii="Arial" w:hAnsi="Arial" w:cs="Arial"/>
          <w:b/>
          <w:bCs/>
          <w:sz w:val="16"/>
          <w:szCs w:val="16"/>
        </w:rPr>
      </w:pPr>
      <w:r w:rsidRPr="00053B43">
        <w:rPr>
          <w:rFonts w:ascii="Arial" w:hAnsi="Arial" w:cs="Arial"/>
          <w:b/>
          <w:bCs/>
          <w:sz w:val="16"/>
          <w:szCs w:val="16"/>
          <w:shd w:val="clear" w:color="auto" w:fill="F5F5F5"/>
        </w:rPr>
        <w:t>RESPOSTAS AOS QUESTIONAMENTOS TCE</w:t>
      </w:r>
      <w:r w:rsidR="00053B43">
        <w:rPr>
          <w:rFonts w:ascii="Arial" w:hAnsi="Arial" w:cs="Arial"/>
          <w:b/>
          <w:bCs/>
          <w:sz w:val="16"/>
          <w:szCs w:val="16"/>
          <w:shd w:val="clear" w:color="auto" w:fill="F5F5F5"/>
        </w:rPr>
        <w:t>:</w:t>
      </w:r>
    </w:p>
    <w:p w14:paraId="41546C19" w14:textId="0E13CA04" w:rsidR="00167B0A" w:rsidRPr="00530440" w:rsidRDefault="00167B0A" w:rsidP="00530440">
      <w:pPr>
        <w:pStyle w:val="Default"/>
        <w:numPr>
          <w:ilvl w:val="0"/>
          <w:numId w:val="4"/>
        </w:numPr>
        <w:ind w:left="426" w:hanging="426"/>
        <w:rPr>
          <w:sz w:val="16"/>
          <w:szCs w:val="16"/>
        </w:rPr>
      </w:pPr>
      <w:r w:rsidRPr="00530440">
        <w:rPr>
          <w:sz w:val="16"/>
          <w:szCs w:val="16"/>
        </w:rPr>
        <w:t xml:space="preserve">Pela </w:t>
      </w:r>
      <w:r w:rsidRPr="00530440">
        <w:rPr>
          <w:b/>
          <w:bCs/>
          <w:sz w:val="16"/>
          <w:szCs w:val="16"/>
        </w:rPr>
        <w:t xml:space="preserve">COMUNICAÇÃO </w:t>
      </w:r>
      <w:r w:rsidRPr="00530440">
        <w:rPr>
          <w:sz w:val="16"/>
          <w:szCs w:val="16"/>
        </w:rPr>
        <w:t>ao atual Prefeito do Município de Petrópolis</w:t>
      </w:r>
      <w:r w:rsidRPr="00530440">
        <w:rPr>
          <w:i/>
          <w:iCs/>
          <w:sz w:val="16"/>
          <w:szCs w:val="16"/>
        </w:rPr>
        <w:t xml:space="preserve">, </w:t>
      </w:r>
      <w:r w:rsidRPr="00530440">
        <w:rPr>
          <w:sz w:val="16"/>
          <w:szCs w:val="16"/>
        </w:rPr>
        <w:t xml:space="preserve">com fundamento no art. 6º, § 1º, da Deliberação TCE-RJ nº 204/96, para que, no prazo de 30 (trinta) dias, adote as seguintes providências: </w:t>
      </w:r>
    </w:p>
    <w:p w14:paraId="0C4A00F7" w14:textId="77777777" w:rsidR="00530440" w:rsidRPr="00530440" w:rsidRDefault="00530440" w:rsidP="00530440">
      <w:pPr>
        <w:pStyle w:val="Default"/>
        <w:rPr>
          <w:sz w:val="16"/>
          <w:szCs w:val="16"/>
        </w:rPr>
      </w:pPr>
    </w:p>
    <w:p w14:paraId="5EC3BFDD" w14:textId="3C7C9F77" w:rsidR="00167B0A" w:rsidRDefault="00167B0A" w:rsidP="003924CE">
      <w:pPr>
        <w:pStyle w:val="Default"/>
        <w:spacing w:after="280"/>
        <w:jc w:val="both"/>
        <w:rPr>
          <w:sz w:val="16"/>
          <w:szCs w:val="16"/>
        </w:rPr>
      </w:pPr>
      <w:r w:rsidRPr="00530440">
        <w:rPr>
          <w:sz w:val="16"/>
          <w:szCs w:val="16"/>
        </w:rPr>
        <w:t xml:space="preserve">1. Mantenha esta licitação adiada </w:t>
      </w:r>
      <w:proofErr w:type="spellStart"/>
      <w:r w:rsidRPr="00530440">
        <w:rPr>
          <w:i/>
          <w:iCs/>
          <w:sz w:val="16"/>
          <w:szCs w:val="16"/>
        </w:rPr>
        <w:t>sine</w:t>
      </w:r>
      <w:proofErr w:type="spellEnd"/>
      <w:r w:rsidRPr="00530440">
        <w:rPr>
          <w:i/>
          <w:iCs/>
          <w:sz w:val="16"/>
          <w:szCs w:val="16"/>
        </w:rPr>
        <w:t xml:space="preserve"> die </w:t>
      </w:r>
      <w:r w:rsidRPr="00530440">
        <w:rPr>
          <w:sz w:val="16"/>
          <w:szCs w:val="16"/>
        </w:rPr>
        <w:t xml:space="preserve">até que o Tribunal de Contas delibere conclusivamente sobre o conhecimento do Edital de Pregão nº 45/2019, encaminhando os comprovantes de publicação dos avisos de adiamento, nos termos do art. 21 da Lei nº 8.666/93, além de divulgar a iniciativa no sitio eletrônico oficial (internet), em atenção ao que determina o art. 8º da Lei Nacional nº 12.527/11. </w:t>
      </w:r>
    </w:p>
    <w:p w14:paraId="5FB5CDCE" w14:textId="29BD2C9F" w:rsidR="003924CE" w:rsidRPr="00053B43" w:rsidRDefault="00530440" w:rsidP="00167B0A">
      <w:pPr>
        <w:pStyle w:val="Default"/>
        <w:spacing w:after="280"/>
        <w:rPr>
          <w:b/>
          <w:bCs/>
          <w:color w:val="auto"/>
          <w:sz w:val="16"/>
          <w:szCs w:val="16"/>
        </w:rPr>
      </w:pPr>
      <w:r w:rsidRPr="00053B43">
        <w:rPr>
          <w:b/>
          <w:bCs/>
          <w:color w:val="auto"/>
          <w:sz w:val="16"/>
          <w:szCs w:val="16"/>
        </w:rPr>
        <w:t>RESPOSTA:</w:t>
      </w:r>
      <w:r w:rsidR="00053B43">
        <w:rPr>
          <w:b/>
          <w:bCs/>
          <w:color w:val="auto"/>
          <w:sz w:val="16"/>
          <w:szCs w:val="16"/>
        </w:rPr>
        <w:t xml:space="preserve"> A licitação continua adiada “</w:t>
      </w:r>
      <w:proofErr w:type="spellStart"/>
      <w:r w:rsidR="00053B43">
        <w:rPr>
          <w:b/>
          <w:bCs/>
          <w:color w:val="auto"/>
          <w:sz w:val="16"/>
          <w:szCs w:val="16"/>
        </w:rPr>
        <w:t>sine</w:t>
      </w:r>
      <w:proofErr w:type="spellEnd"/>
      <w:r w:rsidR="00053B43">
        <w:rPr>
          <w:b/>
          <w:bCs/>
          <w:color w:val="auto"/>
          <w:sz w:val="16"/>
          <w:szCs w:val="16"/>
        </w:rPr>
        <w:t xml:space="preserve"> die”, conforme determinação do TCE/RJ.</w:t>
      </w:r>
    </w:p>
    <w:p w14:paraId="16A477C0" w14:textId="365ED594" w:rsidR="00167B0A" w:rsidRDefault="00167B0A" w:rsidP="00167B0A">
      <w:pPr>
        <w:pStyle w:val="Default"/>
        <w:spacing w:after="280"/>
        <w:rPr>
          <w:sz w:val="16"/>
          <w:szCs w:val="16"/>
        </w:rPr>
      </w:pPr>
      <w:r w:rsidRPr="00530440">
        <w:rPr>
          <w:sz w:val="16"/>
          <w:szCs w:val="16"/>
        </w:rPr>
        <w:t xml:space="preserve">2. Justifique a realização desta licitação através de Pregão, uma vez que o objeto compreende a ampliação do parque de iluminação e inclusive possui seus quantitativos derivados de listagem de 500 obras em diversos logradouros do Município, considerando a vedação da utilização da referida modalidade licitatória para a execução de obras de engenharia. </w:t>
      </w:r>
    </w:p>
    <w:p w14:paraId="44AA0181" w14:textId="77777777" w:rsidR="00214DFE" w:rsidRPr="00530440" w:rsidRDefault="00214DFE" w:rsidP="00214DFE">
      <w:pPr>
        <w:pStyle w:val="Default"/>
        <w:spacing w:after="280"/>
        <w:rPr>
          <w:sz w:val="16"/>
          <w:szCs w:val="16"/>
        </w:rPr>
      </w:pPr>
      <w:r w:rsidRPr="00530440">
        <w:rPr>
          <w:sz w:val="16"/>
          <w:szCs w:val="16"/>
        </w:rPr>
        <w:t xml:space="preserve">3. Justifique a pertinência da utilização do sistema de Registro de Preços para a contratação decorrente do Pregão em apreço, considerando a vedação da utilização do aludido sistema para execução de obras de engenharia. </w:t>
      </w:r>
    </w:p>
    <w:p w14:paraId="0728B197" w14:textId="001FE72C" w:rsidR="00530440" w:rsidRPr="00423DB4" w:rsidRDefault="00530440" w:rsidP="00530440">
      <w:pPr>
        <w:jc w:val="both"/>
        <w:rPr>
          <w:rFonts w:ascii="Arial" w:hAnsi="Arial" w:cs="Arial"/>
          <w:b/>
          <w:bCs/>
          <w:sz w:val="16"/>
          <w:szCs w:val="16"/>
        </w:rPr>
      </w:pPr>
      <w:r w:rsidRPr="00423DB4">
        <w:rPr>
          <w:rFonts w:ascii="Arial" w:hAnsi="Arial" w:cs="Arial"/>
          <w:b/>
          <w:bCs/>
          <w:sz w:val="16"/>
          <w:szCs w:val="16"/>
        </w:rPr>
        <w:t>RESPOSTA</w:t>
      </w:r>
      <w:r w:rsidR="00214DFE" w:rsidRPr="00423DB4">
        <w:rPr>
          <w:rFonts w:ascii="Arial" w:hAnsi="Arial" w:cs="Arial"/>
          <w:b/>
          <w:bCs/>
          <w:sz w:val="16"/>
          <w:szCs w:val="16"/>
        </w:rPr>
        <w:t>S DO ITEM 2 e 3 (QUESTIONAMENTOS VINCULADOS)</w:t>
      </w:r>
      <w:r w:rsidRPr="00423DB4">
        <w:rPr>
          <w:rFonts w:ascii="Arial" w:hAnsi="Arial" w:cs="Arial"/>
          <w:b/>
          <w:bCs/>
          <w:sz w:val="16"/>
          <w:szCs w:val="16"/>
        </w:rPr>
        <w:t xml:space="preserve">: </w:t>
      </w:r>
    </w:p>
    <w:p w14:paraId="3F31A8D3" w14:textId="77777777" w:rsidR="00530440" w:rsidRPr="00530440" w:rsidRDefault="00530440" w:rsidP="00530440">
      <w:pPr>
        <w:pStyle w:val="PargrafodaLista"/>
        <w:numPr>
          <w:ilvl w:val="0"/>
          <w:numId w:val="1"/>
        </w:numPr>
        <w:suppressAutoHyphens/>
        <w:spacing w:after="0" w:line="240" w:lineRule="auto"/>
        <w:jc w:val="both"/>
        <w:rPr>
          <w:rFonts w:ascii="Arial" w:hAnsi="Arial" w:cs="Arial"/>
          <w:sz w:val="16"/>
          <w:szCs w:val="16"/>
        </w:rPr>
      </w:pPr>
      <w:r w:rsidRPr="00530440">
        <w:rPr>
          <w:rFonts w:ascii="Arial" w:hAnsi="Arial" w:cs="Arial"/>
          <w:sz w:val="16"/>
          <w:szCs w:val="16"/>
        </w:rPr>
        <w:t xml:space="preserve">Com relação ao objeto, a eficientização e ampliação do Parque de Iluminação, são dois serviços, que na sua execução um complementa o outro, ou seja, a eficientização será sempre a complementação de um serviço da infraestrutura necessária para a instalação de novos pontos de Iluminação Pública em logradouros, onde parte desde logradouro já é atendido por Iluminação. Nos casos onde não exista ponto de Iluminação em nenhum trecho da via, mas que o logradouro já possua rede de baixa tensão da concessionária de energia elétrica, a ampliação se dará pela instalação de novas luminárias em LED. Nos casos onde não exista rede de baixa tensão da concessionária, mas existem posteação o poder público irá fazer o lançamento desta rede de cabeamento e instalar as luminárias. Nos casos onde não existam qualquer infraestrutura, o poder público irá implantar posteação, lançar os cabos, instalar as luminárias e ambos os casos será solicitado a concessionária a interligação desta rede </w:t>
      </w:r>
      <w:proofErr w:type="gramStart"/>
      <w:r w:rsidRPr="00530440">
        <w:rPr>
          <w:rFonts w:ascii="Arial" w:hAnsi="Arial" w:cs="Arial"/>
          <w:sz w:val="16"/>
          <w:szCs w:val="16"/>
        </w:rPr>
        <w:t>à</w:t>
      </w:r>
      <w:proofErr w:type="gramEnd"/>
      <w:r w:rsidRPr="00530440">
        <w:rPr>
          <w:rFonts w:ascii="Arial" w:hAnsi="Arial" w:cs="Arial"/>
          <w:sz w:val="16"/>
          <w:szCs w:val="16"/>
        </w:rPr>
        <w:t xml:space="preserve"> rede da concessionária;</w:t>
      </w:r>
    </w:p>
    <w:p w14:paraId="6F267E9E" w14:textId="77777777" w:rsidR="00530440" w:rsidRPr="00530440" w:rsidRDefault="00530440" w:rsidP="00530440">
      <w:pPr>
        <w:pStyle w:val="PargrafodaLista"/>
        <w:jc w:val="both"/>
        <w:rPr>
          <w:rFonts w:ascii="Arial" w:hAnsi="Arial" w:cs="Arial"/>
          <w:sz w:val="16"/>
          <w:szCs w:val="16"/>
        </w:rPr>
      </w:pPr>
    </w:p>
    <w:p w14:paraId="32D456AE" w14:textId="05BEEC55" w:rsidR="00530440" w:rsidRPr="00530440" w:rsidRDefault="00530440" w:rsidP="00530440">
      <w:pPr>
        <w:pStyle w:val="PargrafodaLista"/>
        <w:numPr>
          <w:ilvl w:val="0"/>
          <w:numId w:val="1"/>
        </w:numPr>
        <w:suppressAutoHyphens/>
        <w:spacing w:after="0" w:line="240" w:lineRule="auto"/>
        <w:jc w:val="both"/>
        <w:rPr>
          <w:rFonts w:ascii="Arial" w:hAnsi="Arial" w:cs="Arial"/>
          <w:sz w:val="16"/>
          <w:szCs w:val="16"/>
        </w:rPr>
      </w:pPr>
      <w:r w:rsidRPr="00530440">
        <w:rPr>
          <w:rFonts w:ascii="Arial" w:hAnsi="Arial" w:cs="Arial"/>
          <w:sz w:val="16"/>
          <w:szCs w:val="16"/>
        </w:rPr>
        <w:t xml:space="preserve"> No nosso entendimento a ampliação do Parque de Iluminação Pública se enquadra plenamente nas hipóteses onde o Pregão e o Sistema de Registro de Preço, previsto no Art. 15 da Lei nº 8.66 de 21 de junho de pode ser aplicado, desta forma: </w:t>
      </w:r>
    </w:p>
    <w:p w14:paraId="170E1E9D" w14:textId="77777777" w:rsidR="00530440" w:rsidRPr="00530440" w:rsidRDefault="00530440" w:rsidP="00530440">
      <w:pPr>
        <w:pStyle w:val="PargrafodaLista"/>
        <w:rPr>
          <w:rFonts w:ascii="Arial" w:hAnsi="Arial" w:cs="Arial"/>
          <w:sz w:val="16"/>
          <w:szCs w:val="16"/>
        </w:rPr>
      </w:pPr>
    </w:p>
    <w:p w14:paraId="13B938DE" w14:textId="77777777" w:rsidR="00530440" w:rsidRPr="00530440" w:rsidRDefault="00530440" w:rsidP="00530440">
      <w:pPr>
        <w:pStyle w:val="PargrafodaLista"/>
        <w:suppressAutoHyphens/>
        <w:spacing w:after="0" w:line="240" w:lineRule="auto"/>
        <w:ind w:left="1080"/>
        <w:jc w:val="both"/>
        <w:rPr>
          <w:rFonts w:ascii="Arial" w:hAnsi="Arial" w:cs="Arial"/>
          <w:sz w:val="16"/>
          <w:szCs w:val="16"/>
        </w:rPr>
      </w:pPr>
    </w:p>
    <w:p w14:paraId="43C7493B" w14:textId="46A25F24" w:rsidR="00530440" w:rsidRPr="00530440" w:rsidRDefault="00530440" w:rsidP="00530440">
      <w:pPr>
        <w:pStyle w:val="PargrafodaLista"/>
        <w:numPr>
          <w:ilvl w:val="1"/>
          <w:numId w:val="1"/>
        </w:numPr>
        <w:suppressAutoHyphens/>
        <w:spacing w:after="0" w:line="240" w:lineRule="auto"/>
        <w:jc w:val="both"/>
        <w:rPr>
          <w:rFonts w:ascii="Arial" w:hAnsi="Arial" w:cs="Arial"/>
          <w:sz w:val="16"/>
          <w:szCs w:val="16"/>
        </w:rPr>
      </w:pPr>
      <w:r w:rsidRPr="00530440">
        <w:rPr>
          <w:rFonts w:ascii="Arial" w:hAnsi="Arial" w:cs="Arial"/>
          <w:sz w:val="16"/>
          <w:szCs w:val="16"/>
        </w:rPr>
        <w:t>Conforme ficou estabelecido no Parágrafo único do artigo 1º da Lei nº 10.520 de julho de 2002, onde consideram-se bens e serviços comuns, para os fins e efeitos deste artigo, aqueles cujos padrões de desempenho e qualidade possam ser objetivamente definidos pelo Edital, por meio de especificações usuais no mercado. Assim, conforme consta na memória de Cálculo na aba “OBRAS – GERAL” onde estão relacionados os locais passíveis de serem atendidos com iluminação pública, bem como a especificação de todos os materiais que são usuais neste tipo de atividade. Desta forma, ao se analisar tanto a memória de cálculo, quanto a planilha orçamentária, ambos refletem exatamente os itens relacionados na referida aba, atendendo plenamente ao artigo em questão.</w:t>
      </w:r>
    </w:p>
    <w:p w14:paraId="4F513932" w14:textId="77777777" w:rsidR="00530440" w:rsidRPr="00530440" w:rsidRDefault="00530440" w:rsidP="00530440">
      <w:pPr>
        <w:pStyle w:val="PargrafodaLista"/>
        <w:suppressAutoHyphens/>
        <w:spacing w:after="0" w:line="240" w:lineRule="auto"/>
        <w:ind w:left="1080"/>
        <w:jc w:val="both"/>
        <w:rPr>
          <w:rFonts w:ascii="Arial" w:hAnsi="Arial" w:cs="Arial"/>
          <w:sz w:val="16"/>
          <w:szCs w:val="16"/>
        </w:rPr>
      </w:pPr>
    </w:p>
    <w:p w14:paraId="7A0C080E" w14:textId="77777777" w:rsidR="00530440" w:rsidRPr="00530440" w:rsidRDefault="00530440" w:rsidP="00530440">
      <w:pPr>
        <w:pStyle w:val="PargrafodaLista"/>
        <w:numPr>
          <w:ilvl w:val="1"/>
          <w:numId w:val="1"/>
        </w:numPr>
        <w:suppressAutoHyphens/>
        <w:spacing w:after="0" w:line="240" w:lineRule="auto"/>
        <w:jc w:val="both"/>
        <w:rPr>
          <w:rFonts w:ascii="Arial" w:hAnsi="Arial" w:cs="Arial"/>
          <w:sz w:val="16"/>
          <w:szCs w:val="16"/>
        </w:rPr>
      </w:pPr>
      <w:r w:rsidRPr="00530440">
        <w:rPr>
          <w:rFonts w:ascii="Arial" w:hAnsi="Arial" w:cs="Arial"/>
          <w:sz w:val="16"/>
          <w:szCs w:val="16"/>
        </w:rPr>
        <w:t xml:space="preserve">Atende também ao artigo 3º da Lei nº 10.520 de julho de 2002 e o artigo 3º do Decreto nº 7.892 de 23 de janeiro de 2013, ou seja: </w:t>
      </w:r>
    </w:p>
    <w:p w14:paraId="3A9DF992" w14:textId="77777777" w:rsidR="00530440" w:rsidRPr="00530440" w:rsidRDefault="00530440" w:rsidP="00530440">
      <w:pPr>
        <w:pStyle w:val="PargrafodaLista"/>
        <w:suppressAutoHyphens/>
        <w:spacing w:after="0" w:line="240" w:lineRule="auto"/>
        <w:ind w:left="1080"/>
        <w:jc w:val="both"/>
        <w:rPr>
          <w:rFonts w:ascii="Arial" w:hAnsi="Arial" w:cs="Arial"/>
          <w:sz w:val="16"/>
          <w:szCs w:val="16"/>
        </w:rPr>
      </w:pPr>
    </w:p>
    <w:p w14:paraId="597C32E0" w14:textId="77777777" w:rsidR="00530440" w:rsidRPr="00530440" w:rsidRDefault="00530440" w:rsidP="00530440">
      <w:pPr>
        <w:pStyle w:val="PargrafodaLista"/>
        <w:numPr>
          <w:ilvl w:val="0"/>
          <w:numId w:val="2"/>
        </w:numPr>
        <w:suppressAutoHyphens/>
        <w:spacing w:after="0" w:line="240" w:lineRule="auto"/>
        <w:jc w:val="both"/>
        <w:rPr>
          <w:rFonts w:ascii="Arial" w:hAnsi="Arial" w:cs="Arial"/>
          <w:sz w:val="16"/>
          <w:szCs w:val="16"/>
        </w:rPr>
      </w:pPr>
      <w:r w:rsidRPr="00530440">
        <w:rPr>
          <w:rFonts w:ascii="Arial" w:hAnsi="Arial" w:cs="Arial"/>
          <w:sz w:val="16"/>
          <w:szCs w:val="16"/>
        </w:rPr>
        <w:t xml:space="preserve">Este, serviço necessita de contratações frequentes, pois sua execução está atrelada à solicitação realizada pela população, sendo difícil sua quantificação, pois o município está em constante </w:t>
      </w:r>
      <w:r w:rsidRPr="00530440">
        <w:rPr>
          <w:rFonts w:ascii="Arial" w:hAnsi="Arial" w:cs="Arial"/>
          <w:sz w:val="16"/>
          <w:szCs w:val="16"/>
        </w:rPr>
        <w:lastRenderedPageBreak/>
        <w:t>mutação onde novas áreas vem sendo ocupados e que demandam a implantação de infraestrutura pelo poder Público, e a Iluminação Pública é uma dessas infraestrutura.</w:t>
      </w:r>
    </w:p>
    <w:p w14:paraId="0CB8973E" w14:textId="77777777" w:rsidR="00530440" w:rsidRPr="00530440" w:rsidRDefault="00530440" w:rsidP="00530440">
      <w:pPr>
        <w:pStyle w:val="PargrafodaLista"/>
        <w:suppressAutoHyphens/>
        <w:spacing w:after="0" w:line="240" w:lineRule="auto"/>
        <w:ind w:left="1440"/>
        <w:jc w:val="both"/>
        <w:rPr>
          <w:rFonts w:ascii="Arial" w:hAnsi="Arial" w:cs="Arial"/>
          <w:sz w:val="16"/>
          <w:szCs w:val="16"/>
        </w:rPr>
      </w:pPr>
    </w:p>
    <w:p w14:paraId="208ECD2A" w14:textId="77777777" w:rsidR="00530440" w:rsidRPr="00530440" w:rsidRDefault="00530440" w:rsidP="00530440">
      <w:pPr>
        <w:pStyle w:val="PargrafodaLista"/>
        <w:numPr>
          <w:ilvl w:val="0"/>
          <w:numId w:val="2"/>
        </w:numPr>
        <w:suppressAutoHyphens/>
        <w:spacing w:after="0" w:line="240" w:lineRule="auto"/>
        <w:jc w:val="both"/>
        <w:rPr>
          <w:rFonts w:ascii="Arial" w:hAnsi="Arial" w:cs="Arial"/>
          <w:sz w:val="16"/>
          <w:szCs w:val="16"/>
        </w:rPr>
      </w:pPr>
      <w:r w:rsidRPr="00530440">
        <w:rPr>
          <w:rFonts w:ascii="Arial" w:hAnsi="Arial" w:cs="Arial"/>
          <w:sz w:val="16"/>
          <w:szCs w:val="16"/>
        </w:rPr>
        <w:t>Este serviço também atende a hipótese de estar atendendo à programa de Governo, ou seja, prover de Iluminação os logradouros onde não exista está infraestrutura, bem como implementar um programa de sustentabilidade e eficientização do Parque de Iluminação Pública com vista ao uso racional da energia elétrica bem como e redução do custo financeiro com o gasto de energia elétrica;</w:t>
      </w:r>
    </w:p>
    <w:p w14:paraId="21617B1C" w14:textId="77777777" w:rsidR="00530440" w:rsidRPr="00530440" w:rsidRDefault="00530440" w:rsidP="00530440">
      <w:pPr>
        <w:pStyle w:val="PargrafodaLista"/>
        <w:rPr>
          <w:rFonts w:ascii="Arial" w:hAnsi="Arial" w:cs="Arial"/>
          <w:sz w:val="16"/>
          <w:szCs w:val="16"/>
        </w:rPr>
      </w:pPr>
    </w:p>
    <w:p w14:paraId="33BC9326" w14:textId="77777777" w:rsidR="00530440" w:rsidRPr="00530440" w:rsidRDefault="00530440" w:rsidP="00530440">
      <w:pPr>
        <w:pStyle w:val="PargrafodaLista"/>
        <w:numPr>
          <w:ilvl w:val="0"/>
          <w:numId w:val="2"/>
        </w:numPr>
        <w:suppressAutoHyphens/>
        <w:spacing w:after="0" w:line="240" w:lineRule="auto"/>
        <w:jc w:val="both"/>
        <w:rPr>
          <w:rFonts w:ascii="Arial" w:hAnsi="Arial" w:cs="Arial"/>
          <w:sz w:val="16"/>
          <w:szCs w:val="16"/>
        </w:rPr>
      </w:pPr>
      <w:r w:rsidRPr="00530440">
        <w:rPr>
          <w:rFonts w:ascii="Arial" w:hAnsi="Arial" w:cs="Arial"/>
          <w:sz w:val="16"/>
          <w:szCs w:val="16"/>
        </w:rPr>
        <w:t>Este serviço, como mencionado anteriormente, devido a sua natureza, o Poder Público não tem como prever previamente o quantitativo de serviço a ser demandado. Para efeito de quantificação, no atual processo, foram levantadas as solicitações realizadas pelo cidadão e que já passaram por vistoria prévia, sendo que esta serviu somente para balizar a solicitação para contratação;</w:t>
      </w:r>
    </w:p>
    <w:p w14:paraId="6465F890" w14:textId="77777777" w:rsidR="00530440" w:rsidRPr="00530440" w:rsidRDefault="00530440" w:rsidP="00530440">
      <w:pPr>
        <w:pStyle w:val="PargrafodaLista"/>
        <w:rPr>
          <w:rFonts w:ascii="Arial" w:hAnsi="Arial" w:cs="Arial"/>
          <w:sz w:val="16"/>
          <w:szCs w:val="16"/>
        </w:rPr>
      </w:pPr>
    </w:p>
    <w:p w14:paraId="36FD8B66" w14:textId="77777777" w:rsidR="00530440" w:rsidRPr="00530440" w:rsidRDefault="00530440" w:rsidP="00530440">
      <w:pPr>
        <w:pStyle w:val="PargrafodaLista"/>
        <w:numPr>
          <w:ilvl w:val="0"/>
          <w:numId w:val="2"/>
        </w:numPr>
        <w:suppressAutoHyphens/>
        <w:spacing w:after="0" w:line="240" w:lineRule="auto"/>
        <w:jc w:val="both"/>
        <w:rPr>
          <w:rFonts w:ascii="Arial" w:hAnsi="Arial" w:cs="Arial"/>
          <w:sz w:val="16"/>
          <w:szCs w:val="16"/>
        </w:rPr>
      </w:pPr>
      <w:r w:rsidRPr="00530440">
        <w:rPr>
          <w:rFonts w:ascii="Arial" w:hAnsi="Arial" w:cs="Arial"/>
          <w:sz w:val="16"/>
          <w:szCs w:val="16"/>
        </w:rPr>
        <w:t xml:space="preserve">Como mencionado anteriormente, por ser um serviço que apresenta uma dinâmica própria, devido as suas características, o mesmo deverá ser remunerado de acordo com o regime de tarefa, ou seja, cada solicitação será apropriada individualmente, gerando um empenho para cada serviço solicitado pelo Poder Público, sendo que o valor de referência para a composição deste serviço será baseado na planilha de custo presente no processo da ata de registro de preço. </w:t>
      </w:r>
    </w:p>
    <w:p w14:paraId="37D98ECA" w14:textId="77777777" w:rsidR="00530440" w:rsidRPr="00530440" w:rsidRDefault="00530440" w:rsidP="00530440">
      <w:pPr>
        <w:pStyle w:val="PargrafodaLista"/>
        <w:rPr>
          <w:rFonts w:ascii="Arial" w:hAnsi="Arial" w:cs="Arial"/>
          <w:sz w:val="16"/>
          <w:szCs w:val="16"/>
        </w:rPr>
      </w:pPr>
    </w:p>
    <w:p w14:paraId="75845CDD" w14:textId="77777777" w:rsidR="00530440" w:rsidRPr="00530440" w:rsidRDefault="00530440" w:rsidP="00530440">
      <w:pPr>
        <w:pStyle w:val="PargrafodaLista"/>
        <w:numPr>
          <w:ilvl w:val="0"/>
          <w:numId w:val="2"/>
        </w:numPr>
        <w:suppressAutoHyphens/>
        <w:spacing w:after="0" w:line="240" w:lineRule="auto"/>
        <w:jc w:val="both"/>
        <w:rPr>
          <w:rFonts w:ascii="Arial" w:hAnsi="Arial" w:cs="Arial"/>
          <w:sz w:val="16"/>
          <w:szCs w:val="16"/>
        </w:rPr>
      </w:pPr>
      <w:r w:rsidRPr="00530440">
        <w:rPr>
          <w:rFonts w:ascii="Arial" w:hAnsi="Arial" w:cs="Arial"/>
          <w:sz w:val="16"/>
          <w:szCs w:val="16"/>
        </w:rPr>
        <w:t>Conforme Agência Nacional de Energia Elétrica – ANEEL, através da Resolução nº 414/10 ressalta que o serviço de Iluminação Pública, vai muito além do pagamento das contas relativas à energia consumida pelas lâmpadas instaladas em logradouro Público, ele abrange  a elaboração de projeto, a implantação, expansão, operação e manutenção das instalações de Iluminação Pública, bem como a ampliação da capacidade ou reforma de subestações alimentadoras e linhas elétricas existentes, quando necessário ao atendimento das instalações Públicas.</w:t>
      </w:r>
    </w:p>
    <w:p w14:paraId="71EB8038" w14:textId="77777777" w:rsidR="00530440" w:rsidRPr="00530440" w:rsidRDefault="00530440" w:rsidP="00530440">
      <w:pPr>
        <w:pStyle w:val="PargrafodaLista"/>
        <w:suppressAutoHyphens/>
        <w:spacing w:after="0" w:line="240" w:lineRule="auto"/>
        <w:ind w:left="1080"/>
        <w:jc w:val="both"/>
        <w:rPr>
          <w:rFonts w:ascii="Arial" w:hAnsi="Arial" w:cs="Arial"/>
          <w:sz w:val="16"/>
          <w:szCs w:val="16"/>
        </w:rPr>
      </w:pPr>
    </w:p>
    <w:p w14:paraId="6D9CA6D0" w14:textId="77777777" w:rsidR="00530440" w:rsidRPr="00530440" w:rsidRDefault="00530440" w:rsidP="00530440">
      <w:pPr>
        <w:pStyle w:val="PargrafodaLista"/>
        <w:numPr>
          <w:ilvl w:val="1"/>
          <w:numId w:val="1"/>
        </w:numPr>
        <w:suppressAutoHyphens/>
        <w:spacing w:after="0" w:line="240" w:lineRule="auto"/>
        <w:jc w:val="both"/>
        <w:rPr>
          <w:rFonts w:ascii="Arial" w:hAnsi="Arial" w:cs="Arial"/>
          <w:sz w:val="16"/>
          <w:szCs w:val="16"/>
        </w:rPr>
      </w:pPr>
      <w:r w:rsidRPr="00530440">
        <w:rPr>
          <w:rFonts w:ascii="Arial" w:hAnsi="Arial" w:cs="Arial"/>
          <w:sz w:val="16"/>
          <w:szCs w:val="16"/>
        </w:rPr>
        <w:t xml:space="preserve">Conforme os parâmetros estabelecidos na Orientação Técnica – OT-IBR 002/2009. Esta Orientação Técnica visa uniformizar o entendimento quanto à definição de Obra e de Serviço de Engenharia, para efeito de contratação pela administração pública. </w:t>
      </w:r>
    </w:p>
    <w:p w14:paraId="2DB85FFE" w14:textId="77777777" w:rsidR="00530440" w:rsidRPr="00530440" w:rsidRDefault="00530440" w:rsidP="00530440">
      <w:pPr>
        <w:suppressAutoHyphens/>
        <w:spacing w:after="0" w:line="240" w:lineRule="auto"/>
        <w:jc w:val="both"/>
        <w:rPr>
          <w:rFonts w:ascii="Arial" w:hAnsi="Arial" w:cs="Arial"/>
          <w:sz w:val="16"/>
          <w:szCs w:val="16"/>
        </w:rPr>
      </w:pPr>
    </w:p>
    <w:p w14:paraId="6C32713F" w14:textId="2C7B1F9F" w:rsidR="00530440" w:rsidRPr="003924CE" w:rsidRDefault="00530440" w:rsidP="003924CE">
      <w:pPr>
        <w:pStyle w:val="PargrafodaLista"/>
        <w:suppressAutoHyphens/>
        <w:spacing w:after="0" w:line="240" w:lineRule="auto"/>
        <w:ind w:left="426"/>
        <w:jc w:val="both"/>
        <w:rPr>
          <w:rFonts w:ascii="Arial" w:hAnsi="Arial" w:cs="Arial"/>
          <w:b/>
          <w:bCs/>
          <w:sz w:val="16"/>
          <w:szCs w:val="16"/>
          <w:u w:val="single"/>
        </w:rPr>
      </w:pPr>
      <w:r w:rsidRPr="003924CE">
        <w:rPr>
          <w:rFonts w:ascii="Arial" w:hAnsi="Arial" w:cs="Arial"/>
          <w:b/>
          <w:bCs/>
          <w:sz w:val="16"/>
          <w:szCs w:val="16"/>
          <w:u w:val="single"/>
        </w:rPr>
        <w:t xml:space="preserve">DEFINIÇÃO DE SERVIÇO DE ENGENHARIA </w:t>
      </w:r>
    </w:p>
    <w:p w14:paraId="662F6091" w14:textId="77777777" w:rsidR="00530440" w:rsidRPr="00530440" w:rsidRDefault="00530440" w:rsidP="00530440">
      <w:pPr>
        <w:pStyle w:val="PargrafodaLista"/>
        <w:suppressAutoHyphens/>
        <w:spacing w:after="0" w:line="240" w:lineRule="auto"/>
        <w:jc w:val="both"/>
        <w:rPr>
          <w:rFonts w:ascii="Arial" w:hAnsi="Arial" w:cs="Arial"/>
          <w:sz w:val="16"/>
          <w:szCs w:val="16"/>
        </w:rPr>
      </w:pPr>
    </w:p>
    <w:p w14:paraId="42987D0F" w14:textId="77777777" w:rsidR="00530440" w:rsidRPr="00530440" w:rsidRDefault="00530440" w:rsidP="00530440">
      <w:pPr>
        <w:pStyle w:val="PargrafodaLista"/>
        <w:suppressAutoHyphens/>
        <w:spacing w:after="0" w:line="240" w:lineRule="auto"/>
        <w:jc w:val="both"/>
        <w:rPr>
          <w:rFonts w:ascii="Arial" w:hAnsi="Arial" w:cs="Arial"/>
          <w:sz w:val="16"/>
          <w:szCs w:val="16"/>
        </w:rPr>
      </w:pPr>
      <w:r w:rsidRPr="00530440">
        <w:rPr>
          <w:rFonts w:ascii="Arial" w:hAnsi="Arial" w:cs="Arial"/>
          <w:sz w:val="16"/>
          <w:szCs w:val="16"/>
        </w:rPr>
        <w:t>Serviço de Engenharia é toda a atividade que necessite da participação e acompanhamento de profissional habilitado conforme o disposto na Lei Federal nº 5.194/66, tais como: consertar, instalar, montar, operar, conservar, reparar, adaptar, manter, transportar, ou ainda, demolir. Incluem-se nesta definição as atividades profissionais referentes aos serviços técnicos profissionais especializados de projetos e planejamentos, estudos técnicos, pareceres, perícias, avaliações, assessorias, consultorias, auditorias, fiscalização, supervisão ou gerenciamento. Para efeito desta Orientação Técnica, conceitua-se:</w:t>
      </w:r>
    </w:p>
    <w:p w14:paraId="6F026EE1" w14:textId="77777777" w:rsidR="00530440" w:rsidRPr="00530440" w:rsidRDefault="00530440" w:rsidP="00530440">
      <w:pPr>
        <w:suppressAutoHyphens/>
        <w:spacing w:after="0" w:line="240" w:lineRule="auto"/>
        <w:jc w:val="both"/>
        <w:rPr>
          <w:rFonts w:ascii="Arial" w:hAnsi="Arial" w:cs="Arial"/>
          <w:sz w:val="16"/>
          <w:szCs w:val="16"/>
        </w:rPr>
      </w:pPr>
    </w:p>
    <w:p w14:paraId="4B64A40D"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 4.1 - Adaptar: transformar instalação, equipamento ou dispositivo para uso diferente daquele originalmente proposto. Quando se tratar de alterar visando adaptar obras, este conceito será designado de reforma. ORIENTAÇÃO TÉCNICA IBRAOP OT – IBR 002/2009 3 </w:t>
      </w:r>
    </w:p>
    <w:p w14:paraId="6EF6595E" w14:textId="77777777" w:rsidR="00530440" w:rsidRPr="00530440" w:rsidRDefault="00530440" w:rsidP="00530440">
      <w:pPr>
        <w:suppressAutoHyphens/>
        <w:spacing w:after="0" w:line="240" w:lineRule="auto"/>
        <w:jc w:val="both"/>
        <w:rPr>
          <w:rFonts w:ascii="Arial" w:hAnsi="Arial" w:cs="Arial"/>
          <w:sz w:val="16"/>
          <w:szCs w:val="16"/>
        </w:rPr>
      </w:pPr>
    </w:p>
    <w:p w14:paraId="7BCF5265"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4.2. - Consertar: colocar em bom estado de uso ou funcionamento o objeto danificado; corrigir defeito ou falha. </w:t>
      </w:r>
    </w:p>
    <w:p w14:paraId="5B98F895" w14:textId="77777777" w:rsidR="00530440" w:rsidRPr="00530440" w:rsidRDefault="00530440" w:rsidP="00530440">
      <w:pPr>
        <w:suppressAutoHyphens/>
        <w:spacing w:after="0" w:line="240" w:lineRule="auto"/>
        <w:jc w:val="both"/>
        <w:rPr>
          <w:rFonts w:ascii="Arial" w:hAnsi="Arial" w:cs="Arial"/>
          <w:sz w:val="16"/>
          <w:szCs w:val="16"/>
        </w:rPr>
      </w:pPr>
    </w:p>
    <w:p w14:paraId="16854AC4"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4.3 - Conservar: conjunto de operações visando preservar ou manter em bom estado, fazer durar, guardar adequadamente, permanecer ou continuar nas condições de conforto e segurança previsto no projeto. </w:t>
      </w:r>
    </w:p>
    <w:p w14:paraId="1292047E" w14:textId="77777777" w:rsidR="00530440" w:rsidRPr="00530440" w:rsidRDefault="00530440" w:rsidP="00530440">
      <w:pPr>
        <w:suppressAutoHyphens/>
        <w:spacing w:after="0" w:line="240" w:lineRule="auto"/>
        <w:jc w:val="both"/>
        <w:rPr>
          <w:rFonts w:ascii="Arial" w:hAnsi="Arial" w:cs="Arial"/>
          <w:sz w:val="16"/>
          <w:szCs w:val="16"/>
        </w:rPr>
      </w:pPr>
    </w:p>
    <w:p w14:paraId="06C30D99" w14:textId="0DAAE3A2"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4.4 - Demolir: ato de </w:t>
      </w:r>
      <w:r w:rsidR="00214DFE" w:rsidRPr="00530440">
        <w:rPr>
          <w:rFonts w:ascii="Arial" w:hAnsi="Arial" w:cs="Arial"/>
          <w:sz w:val="16"/>
          <w:szCs w:val="16"/>
        </w:rPr>
        <w:t>pôr</w:t>
      </w:r>
      <w:r w:rsidRPr="00530440">
        <w:rPr>
          <w:rFonts w:ascii="Arial" w:hAnsi="Arial" w:cs="Arial"/>
          <w:sz w:val="16"/>
          <w:szCs w:val="16"/>
        </w:rPr>
        <w:t xml:space="preserve"> abaixo, desmanchar, destruir ou desfazer obra ou suas partes. </w:t>
      </w:r>
    </w:p>
    <w:p w14:paraId="03ED666D" w14:textId="77777777" w:rsidR="00530440" w:rsidRPr="00530440" w:rsidRDefault="00530440" w:rsidP="00530440">
      <w:pPr>
        <w:suppressAutoHyphens/>
        <w:spacing w:after="0" w:line="240" w:lineRule="auto"/>
        <w:jc w:val="both"/>
        <w:rPr>
          <w:rFonts w:ascii="Arial" w:hAnsi="Arial" w:cs="Arial"/>
          <w:sz w:val="16"/>
          <w:szCs w:val="16"/>
        </w:rPr>
      </w:pPr>
    </w:p>
    <w:p w14:paraId="457F0DC8"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4.5 - Instalar: atividade de colocar ou dispor convenientemente peças, equipamentos, acessórios ou sistemas, em determinada obra ou serviço. </w:t>
      </w:r>
    </w:p>
    <w:p w14:paraId="3640959D" w14:textId="77777777" w:rsidR="00530440" w:rsidRPr="00530440" w:rsidRDefault="00530440" w:rsidP="00530440">
      <w:pPr>
        <w:suppressAutoHyphens/>
        <w:spacing w:after="0" w:line="240" w:lineRule="auto"/>
        <w:jc w:val="both"/>
        <w:rPr>
          <w:rFonts w:ascii="Arial" w:hAnsi="Arial" w:cs="Arial"/>
          <w:sz w:val="16"/>
          <w:szCs w:val="16"/>
        </w:rPr>
      </w:pPr>
    </w:p>
    <w:p w14:paraId="66B86759"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4.6. - Manter: preservar aparelhos, máquinas, equipamentos e obras em bom estado de operação, assegurando sua plena funcionalidade.</w:t>
      </w:r>
    </w:p>
    <w:p w14:paraId="4B61ADD4" w14:textId="77777777" w:rsidR="00530440" w:rsidRPr="00530440" w:rsidRDefault="00530440" w:rsidP="00530440">
      <w:pPr>
        <w:suppressAutoHyphens/>
        <w:spacing w:after="0" w:line="240" w:lineRule="auto"/>
        <w:jc w:val="both"/>
        <w:rPr>
          <w:rFonts w:ascii="Arial" w:hAnsi="Arial" w:cs="Arial"/>
          <w:sz w:val="16"/>
          <w:szCs w:val="16"/>
        </w:rPr>
      </w:pPr>
    </w:p>
    <w:p w14:paraId="7D567873"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 4.7- Montar: arranjar ou dispor ordenadamente peças ou mecanismos, de modo a compor um todo a funcionar. Se a montagem for do todo, deve ser considerada fabricação. </w:t>
      </w:r>
    </w:p>
    <w:p w14:paraId="7957DD31" w14:textId="77777777" w:rsidR="00530440" w:rsidRPr="00530440" w:rsidRDefault="00530440" w:rsidP="00530440">
      <w:pPr>
        <w:suppressAutoHyphens/>
        <w:spacing w:after="0" w:line="240" w:lineRule="auto"/>
        <w:jc w:val="both"/>
        <w:rPr>
          <w:rFonts w:ascii="Arial" w:hAnsi="Arial" w:cs="Arial"/>
          <w:sz w:val="16"/>
          <w:szCs w:val="16"/>
        </w:rPr>
      </w:pPr>
    </w:p>
    <w:p w14:paraId="3ACDA619"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4.8 - Operar: fazer funcionar obras, equipamentos ou mecanismos para produzir certos efeitos ou produtos. </w:t>
      </w:r>
    </w:p>
    <w:p w14:paraId="7E69EC50" w14:textId="77777777" w:rsidR="00530440" w:rsidRPr="00530440" w:rsidRDefault="00530440" w:rsidP="00530440">
      <w:pPr>
        <w:suppressAutoHyphens/>
        <w:spacing w:after="0" w:line="240" w:lineRule="auto"/>
        <w:jc w:val="both"/>
        <w:rPr>
          <w:rFonts w:ascii="Arial" w:hAnsi="Arial" w:cs="Arial"/>
          <w:sz w:val="16"/>
          <w:szCs w:val="16"/>
        </w:rPr>
      </w:pPr>
    </w:p>
    <w:p w14:paraId="409BB418"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4.9 - Reparar: fazer que a peça, ou parte dela, retome suas características anteriores. Nas edificações define-se como um serviço em partes da mesma, diferenciando-se de recuperar. </w:t>
      </w:r>
    </w:p>
    <w:p w14:paraId="3058E073" w14:textId="77777777" w:rsidR="00530440" w:rsidRPr="00530440" w:rsidRDefault="00530440" w:rsidP="00530440">
      <w:pPr>
        <w:suppressAutoHyphens/>
        <w:spacing w:after="0" w:line="240" w:lineRule="auto"/>
        <w:jc w:val="both"/>
        <w:rPr>
          <w:rFonts w:ascii="Arial" w:hAnsi="Arial" w:cs="Arial"/>
          <w:sz w:val="16"/>
          <w:szCs w:val="16"/>
        </w:rPr>
      </w:pPr>
    </w:p>
    <w:p w14:paraId="5CA76C8C"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4.10- Transportar: conduzir de um ponto a outro cargas cujas condições de manuseio ou segurança obriguem a adoção de técnicas ou conhecimentos de engenharia.</w:t>
      </w:r>
    </w:p>
    <w:p w14:paraId="1DFC2FB9" w14:textId="62F43170" w:rsidR="00530440" w:rsidRDefault="00530440" w:rsidP="00530440">
      <w:pPr>
        <w:suppressAutoHyphens/>
        <w:spacing w:after="0" w:line="240" w:lineRule="auto"/>
        <w:jc w:val="both"/>
        <w:rPr>
          <w:rFonts w:ascii="Arial" w:hAnsi="Arial" w:cs="Arial"/>
          <w:sz w:val="16"/>
          <w:szCs w:val="16"/>
        </w:rPr>
      </w:pPr>
    </w:p>
    <w:p w14:paraId="4D198734" w14:textId="6764C53B" w:rsidR="00214DFE" w:rsidRDefault="00214DFE" w:rsidP="00530440">
      <w:pPr>
        <w:suppressAutoHyphens/>
        <w:spacing w:after="0" w:line="240" w:lineRule="auto"/>
        <w:jc w:val="both"/>
        <w:rPr>
          <w:rFonts w:ascii="Arial" w:hAnsi="Arial" w:cs="Arial"/>
          <w:sz w:val="16"/>
          <w:szCs w:val="16"/>
        </w:rPr>
      </w:pPr>
    </w:p>
    <w:p w14:paraId="1FEF657E" w14:textId="3E154C52" w:rsidR="00214DFE" w:rsidRDefault="00214DFE" w:rsidP="00530440">
      <w:pPr>
        <w:suppressAutoHyphens/>
        <w:spacing w:after="0" w:line="240" w:lineRule="auto"/>
        <w:jc w:val="both"/>
        <w:rPr>
          <w:rFonts w:ascii="Arial" w:hAnsi="Arial" w:cs="Arial"/>
          <w:sz w:val="16"/>
          <w:szCs w:val="16"/>
        </w:rPr>
      </w:pPr>
    </w:p>
    <w:p w14:paraId="521DAC72" w14:textId="576D7644" w:rsidR="00214DFE" w:rsidRDefault="00214DFE" w:rsidP="00530440">
      <w:pPr>
        <w:suppressAutoHyphens/>
        <w:spacing w:after="0" w:line="240" w:lineRule="auto"/>
        <w:jc w:val="both"/>
        <w:rPr>
          <w:rFonts w:ascii="Arial" w:hAnsi="Arial" w:cs="Arial"/>
          <w:sz w:val="16"/>
          <w:szCs w:val="16"/>
        </w:rPr>
      </w:pPr>
    </w:p>
    <w:p w14:paraId="56181B1E" w14:textId="77777777" w:rsidR="00530440" w:rsidRPr="00530440" w:rsidRDefault="00530440" w:rsidP="00530440">
      <w:pPr>
        <w:suppressAutoHyphens/>
        <w:spacing w:after="0" w:line="240" w:lineRule="auto"/>
        <w:jc w:val="both"/>
        <w:rPr>
          <w:rFonts w:ascii="Arial" w:hAnsi="Arial" w:cs="Arial"/>
          <w:sz w:val="16"/>
          <w:szCs w:val="16"/>
        </w:rPr>
      </w:pPr>
    </w:p>
    <w:p w14:paraId="75D52077" w14:textId="711579EB" w:rsidR="00530440" w:rsidRPr="003924CE" w:rsidRDefault="00530440" w:rsidP="00530440">
      <w:pPr>
        <w:suppressAutoHyphens/>
        <w:spacing w:after="0" w:line="240" w:lineRule="auto"/>
        <w:jc w:val="both"/>
        <w:rPr>
          <w:rFonts w:ascii="Arial" w:hAnsi="Arial" w:cs="Arial"/>
          <w:b/>
          <w:bCs/>
          <w:sz w:val="16"/>
          <w:szCs w:val="16"/>
        </w:rPr>
      </w:pPr>
      <w:r w:rsidRPr="003924CE">
        <w:rPr>
          <w:rFonts w:ascii="Arial" w:hAnsi="Arial" w:cs="Arial"/>
          <w:b/>
          <w:bCs/>
          <w:sz w:val="16"/>
          <w:szCs w:val="16"/>
          <w:u w:val="single"/>
        </w:rPr>
        <w:t>LISTA EXEMPLIFICATIVA DE SERVIÇOS DE ENGENHARIA</w:t>
      </w:r>
      <w:r w:rsidRPr="003924CE">
        <w:rPr>
          <w:rFonts w:ascii="Arial" w:hAnsi="Arial" w:cs="Arial"/>
          <w:b/>
          <w:bCs/>
          <w:sz w:val="16"/>
          <w:szCs w:val="16"/>
        </w:rPr>
        <w:t xml:space="preserve"> </w:t>
      </w:r>
    </w:p>
    <w:p w14:paraId="0C4B7BE1" w14:textId="77777777" w:rsidR="00530440" w:rsidRPr="00530440" w:rsidRDefault="00530440" w:rsidP="00530440">
      <w:pPr>
        <w:suppressAutoHyphens/>
        <w:spacing w:after="0" w:line="240" w:lineRule="auto"/>
        <w:jc w:val="both"/>
        <w:rPr>
          <w:rFonts w:ascii="Arial" w:hAnsi="Arial" w:cs="Arial"/>
          <w:sz w:val="16"/>
          <w:szCs w:val="16"/>
        </w:rPr>
      </w:pPr>
    </w:p>
    <w:p w14:paraId="46DC29F3"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lastRenderedPageBreak/>
        <w:t xml:space="preserve">As atividades relacionadas a seguir atendem à definição estabelecida no item 4 desta Orientação Técnica, sendo que aquelas não incluídas na listagem deverão ser estudadas em particular. </w:t>
      </w:r>
    </w:p>
    <w:p w14:paraId="0742267F" w14:textId="77777777" w:rsidR="00530440" w:rsidRPr="00530440" w:rsidRDefault="00530440" w:rsidP="00530440">
      <w:pPr>
        <w:suppressAutoHyphens/>
        <w:spacing w:after="0" w:line="240" w:lineRule="auto"/>
        <w:jc w:val="both"/>
        <w:rPr>
          <w:rFonts w:ascii="Arial" w:hAnsi="Arial" w:cs="Arial"/>
          <w:sz w:val="16"/>
          <w:szCs w:val="16"/>
        </w:rPr>
      </w:pPr>
    </w:p>
    <w:p w14:paraId="0FCB9A1A"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6.1. Conservação, reparação ou manutenção de: </w:t>
      </w:r>
    </w:p>
    <w:p w14:paraId="10E38142" w14:textId="77777777" w:rsidR="00530440" w:rsidRPr="00530440" w:rsidRDefault="00530440" w:rsidP="00530440">
      <w:pPr>
        <w:suppressAutoHyphens/>
        <w:spacing w:after="0" w:line="240" w:lineRule="auto"/>
        <w:jc w:val="both"/>
        <w:rPr>
          <w:rFonts w:ascii="Arial" w:hAnsi="Arial" w:cs="Arial"/>
          <w:sz w:val="16"/>
          <w:szCs w:val="16"/>
        </w:rPr>
      </w:pPr>
    </w:p>
    <w:p w14:paraId="02E28218"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Edificações; </w:t>
      </w:r>
    </w:p>
    <w:p w14:paraId="46A58046" w14:textId="77777777" w:rsidR="00530440" w:rsidRPr="00530440" w:rsidRDefault="00530440" w:rsidP="00530440">
      <w:pPr>
        <w:suppressAutoHyphens/>
        <w:spacing w:after="0" w:line="240" w:lineRule="auto"/>
        <w:jc w:val="both"/>
        <w:rPr>
          <w:rFonts w:ascii="Arial" w:hAnsi="Arial" w:cs="Arial"/>
          <w:sz w:val="16"/>
          <w:szCs w:val="16"/>
        </w:rPr>
      </w:pPr>
    </w:p>
    <w:p w14:paraId="5636E80E" w14:textId="77777777" w:rsidR="00530440" w:rsidRPr="00214DFE" w:rsidRDefault="00530440" w:rsidP="00530440">
      <w:pPr>
        <w:suppressAutoHyphens/>
        <w:spacing w:after="0" w:line="240" w:lineRule="auto"/>
        <w:jc w:val="both"/>
        <w:rPr>
          <w:rFonts w:ascii="Arial" w:hAnsi="Arial" w:cs="Arial"/>
          <w:color w:val="FF0000"/>
          <w:sz w:val="16"/>
          <w:szCs w:val="16"/>
        </w:rPr>
      </w:pPr>
      <w:r w:rsidRPr="00214DFE">
        <w:rPr>
          <w:rFonts w:ascii="Arial" w:hAnsi="Arial" w:cs="Arial"/>
          <w:color w:val="FF0000"/>
          <w:sz w:val="16"/>
          <w:szCs w:val="16"/>
        </w:rPr>
        <w:t>Vias Públicas;</w:t>
      </w:r>
    </w:p>
    <w:p w14:paraId="13713DC6" w14:textId="77777777" w:rsidR="00530440" w:rsidRPr="00530440" w:rsidRDefault="00530440" w:rsidP="00530440">
      <w:pPr>
        <w:suppressAutoHyphens/>
        <w:spacing w:after="0" w:line="240" w:lineRule="auto"/>
        <w:jc w:val="both"/>
        <w:rPr>
          <w:rFonts w:ascii="Arial" w:hAnsi="Arial" w:cs="Arial"/>
          <w:sz w:val="16"/>
          <w:szCs w:val="16"/>
        </w:rPr>
      </w:pPr>
    </w:p>
    <w:p w14:paraId="7A5BA2DA"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Rodovias; </w:t>
      </w:r>
    </w:p>
    <w:p w14:paraId="288381CE" w14:textId="77777777" w:rsidR="00530440" w:rsidRPr="00530440" w:rsidRDefault="00530440" w:rsidP="00530440">
      <w:pPr>
        <w:suppressAutoHyphens/>
        <w:spacing w:after="0" w:line="240" w:lineRule="auto"/>
        <w:jc w:val="both"/>
        <w:rPr>
          <w:rFonts w:ascii="Arial" w:hAnsi="Arial" w:cs="Arial"/>
          <w:sz w:val="16"/>
          <w:szCs w:val="16"/>
        </w:rPr>
      </w:pPr>
    </w:p>
    <w:p w14:paraId="58177202"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Ferrovias; </w:t>
      </w:r>
    </w:p>
    <w:p w14:paraId="167D9D15" w14:textId="77777777" w:rsidR="00530440" w:rsidRPr="00530440" w:rsidRDefault="00530440" w:rsidP="00530440">
      <w:pPr>
        <w:suppressAutoHyphens/>
        <w:spacing w:after="0" w:line="240" w:lineRule="auto"/>
        <w:jc w:val="both"/>
        <w:rPr>
          <w:rFonts w:ascii="Arial" w:hAnsi="Arial" w:cs="Arial"/>
          <w:sz w:val="16"/>
          <w:szCs w:val="16"/>
        </w:rPr>
      </w:pPr>
    </w:p>
    <w:p w14:paraId="6BFFE6BF"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Aeroportos;</w:t>
      </w:r>
    </w:p>
    <w:p w14:paraId="53442F76" w14:textId="77777777" w:rsidR="00530440" w:rsidRPr="00530440" w:rsidRDefault="00530440" w:rsidP="00530440">
      <w:pPr>
        <w:suppressAutoHyphens/>
        <w:spacing w:after="0" w:line="240" w:lineRule="auto"/>
        <w:jc w:val="both"/>
        <w:rPr>
          <w:rFonts w:ascii="Arial" w:hAnsi="Arial" w:cs="Arial"/>
          <w:sz w:val="16"/>
          <w:szCs w:val="16"/>
        </w:rPr>
      </w:pPr>
    </w:p>
    <w:p w14:paraId="79DDA84A"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Portos; </w:t>
      </w:r>
    </w:p>
    <w:p w14:paraId="478E2AB3"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Hidrovias;</w:t>
      </w:r>
    </w:p>
    <w:p w14:paraId="3408ECC5" w14:textId="77777777" w:rsidR="00530440" w:rsidRPr="00530440" w:rsidRDefault="00530440" w:rsidP="00530440">
      <w:pPr>
        <w:suppressAutoHyphens/>
        <w:spacing w:after="0" w:line="240" w:lineRule="auto"/>
        <w:jc w:val="both"/>
        <w:rPr>
          <w:rFonts w:ascii="Arial" w:hAnsi="Arial" w:cs="Arial"/>
          <w:sz w:val="16"/>
          <w:szCs w:val="16"/>
        </w:rPr>
      </w:pPr>
    </w:p>
    <w:p w14:paraId="55700FF1"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Canais;</w:t>
      </w:r>
    </w:p>
    <w:p w14:paraId="47206A3D" w14:textId="77777777" w:rsidR="00530440" w:rsidRPr="00530440" w:rsidRDefault="00530440" w:rsidP="00530440">
      <w:pPr>
        <w:suppressAutoHyphens/>
        <w:spacing w:after="0" w:line="240" w:lineRule="auto"/>
        <w:jc w:val="both"/>
        <w:rPr>
          <w:rFonts w:ascii="Arial" w:hAnsi="Arial" w:cs="Arial"/>
          <w:sz w:val="16"/>
          <w:szCs w:val="16"/>
        </w:rPr>
      </w:pPr>
    </w:p>
    <w:p w14:paraId="41989042"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Usinas hidrelétricas, termoelétricas, eólicas e nucleares</w:t>
      </w:r>
    </w:p>
    <w:p w14:paraId="14E3159C" w14:textId="77777777" w:rsidR="00530440" w:rsidRPr="00530440" w:rsidRDefault="00530440" w:rsidP="00530440">
      <w:pPr>
        <w:suppressAutoHyphens/>
        <w:spacing w:after="0" w:line="240" w:lineRule="auto"/>
        <w:jc w:val="both"/>
        <w:rPr>
          <w:rFonts w:ascii="Arial" w:hAnsi="Arial" w:cs="Arial"/>
          <w:sz w:val="16"/>
          <w:szCs w:val="16"/>
        </w:rPr>
      </w:pPr>
    </w:p>
    <w:p w14:paraId="66C0CF25"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Barragens;</w:t>
      </w:r>
    </w:p>
    <w:p w14:paraId="0DD7B79B" w14:textId="77777777" w:rsidR="00530440" w:rsidRPr="00530440" w:rsidRDefault="00530440" w:rsidP="00530440">
      <w:pPr>
        <w:suppressAutoHyphens/>
        <w:spacing w:after="0" w:line="240" w:lineRule="auto"/>
        <w:jc w:val="both"/>
        <w:rPr>
          <w:rFonts w:ascii="Arial" w:hAnsi="Arial" w:cs="Arial"/>
          <w:sz w:val="16"/>
          <w:szCs w:val="16"/>
        </w:rPr>
      </w:pPr>
    </w:p>
    <w:p w14:paraId="27AB5DC6"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Açudes; </w:t>
      </w:r>
    </w:p>
    <w:p w14:paraId="74392BB3" w14:textId="77777777" w:rsidR="00530440" w:rsidRPr="00530440" w:rsidRDefault="00530440" w:rsidP="00530440">
      <w:pPr>
        <w:suppressAutoHyphens/>
        <w:spacing w:after="0" w:line="240" w:lineRule="auto"/>
        <w:jc w:val="both"/>
        <w:rPr>
          <w:rFonts w:ascii="Arial" w:hAnsi="Arial" w:cs="Arial"/>
          <w:sz w:val="16"/>
          <w:szCs w:val="16"/>
        </w:rPr>
      </w:pPr>
    </w:p>
    <w:p w14:paraId="504E69C3"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Gasodutos e oleodutos; </w:t>
      </w:r>
    </w:p>
    <w:p w14:paraId="6B3C41DE" w14:textId="77777777" w:rsidR="00530440" w:rsidRPr="00530440" w:rsidRDefault="00530440" w:rsidP="00530440">
      <w:pPr>
        <w:suppressAutoHyphens/>
        <w:spacing w:after="0" w:line="240" w:lineRule="auto"/>
        <w:jc w:val="both"/>
        <w:rPr>
          <w:rFonts w:ascii="Arial" w:hAnsi="Arial" w:cs="Arial"/>
          <w:sz w:val="16"/>
          <w:szCs w:val="16"/>
        </w:rPr>
      </w:pPr>
    </w:p>
    <w:p w14:paraId="01B7CE4C"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Pontes e Viadutos; </w:t>
      </w:r>
    </w:p>
    <w:p w14:paraId="0371FBC6" w14:textId="77777777" w:rsidR="00530440" w:rsidRPr="00530440" w:rsidRDefault="00530440" w:rsidP="00530440">
      <w:pPr>
        <w:suppressAutoHyphens/>
        <w:spacing w:after="0" w:line="240" w:lineRule="auto"/>
        <w:jc w:val="both"/>
        <w:rPr>
          <w:rFonts w:ascii="Arial" w:hAnsi="Arial" w:cs="Arial"/>
          <w:sz w:val="16"/>
          <w:szCs w:val="16"/>
        </w:rPr>
      </w:pPr>
    </w:p>
    <w:p w14:paraId="46D49D52"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Túneis; </w:t>
      </w:r>
    </w:p>
    <w:p w14:paraId="65A41AB5" w14:textId="77777777" w:rsidR="00530440" w:rsidRPr="00530440" w:rsidRDefault="00530440" w:rsidP="00530440">
      <w:pPr>
        <w:suppressAutoHyphens/>
        <w:spacing w:after="0" w:line="240" w:lineRule="auto"/>
        <w:jc w:val="both"/>
        <w:rPr>
          <w:rFonts w:ascii="Arial" w:hAnsi="Arial" w:cs="Arial"/>
          <w:sz w:val="16"/>
          <w:szCs w:val="16"/>
        </w:rPr>
      </w:pPr>
    </w:p>
    <w:p w14:paraId="63A1910E"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Galerias; </w:t>
      </w:r>
    </w:p>
    <w:p w14:paraId="4846B73A" w14:textId="77777777" w:rsidR="00530440" w:rsidRPr="00530440" w:rsidRDefault="00530440" w:rsidP="00530440">
      <w:pPr>
        <w:suppressAutoHyphens/>
        <w:spacing w:after="0" w:line="240" w:lineRule="auto"/>
        <w:jc w:val="both"/>
        <w:rPr>
          <w:rFonts w:ascii="Arial" w:hAnsi="Arial" w:cs="Arial"/>
          <w:sz w:val="16"/>
          <w:szCs w:val="16"/>
        </w:rPr>
      </w:pPr>
    </w:p>
    <w:p w14:paraId="5BF0108C"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Adutoras, estações de tratamento e redes de distribuição de água; </w:t>
      </w:r>
    </w:p>
    <w:p w14:paraId="23B7BAF4" w14:textId="77777777" w:rsidR="00530440" w:rsidRPr="00530440" w:rsidRDefault="00530440" w:rsidP="00530440">
      <w:pPr>
        <w:suppressAutoHyphens/>
        <w:spacing w:after="0" w:line="240" w:lineRule="auto"/>
        <w:jc w:val="both"/>
        <w:rPr>
          <w:rFonts w:ascii="Arial" w:hAnsi="Arial" w:cs="Arial"/>
          <w:sz w:val="16"/>
          <w:szCs w:val="16"/>
        </w:rPr>
      </w:pPr>
    </w:p>
    <w:p w14:paraId="5A8BF24A"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Redes e sistemas de tratamento de esgoto, Redes de drenagem e irrigação; </w:t>
      </w:r>
    </w:p>
    <w:p w14:paraId="45DADDF2" w14:textId="77777777" w:rsidR="00530440" w:rsidRPr="00530440" w:rsidRDefault="00530440" w:rsidP="00530440">
      <w:pPr>
        <w:suppressAutoHyphens/>
        <w:spacing w:after="0" w:line="240" w:lineRule="auto"/>
        <w:jc w:val="both"/>
        <w:rPr>
          <w:rFonts w:ascii="Arial" w:hAnsi="Arial" w:cs="Arial"/>
          <w:sz w:val="16"/>
          <w:szCs w:val="16"/>
        </w:rPr>
      </w:pPr>
    </w:p>
    <w:p w14:paraId="78815751"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color w:val="FF0000"/>
          <w:sz w:val="16"/>
          <w:szCs w:val="16"/>
        </w:rPr>
        <w:t>Linhas de transmissão, redes de distribuição e subestações de energia elétrica;</w:t>
      </w:r>
    </w:p>
    <w:p w14:paraId="14FFA66E" w14:textId="77777777" w:rsidR="00530440" w:rsidRPr="00530440" w:rsidRDefault="00530440" w:rsidP="00530440">
      <w:pPr>
        <w:suppressAutoHyphens/>
        <w:spacing w:after="0" w:line="240" w:lineRule="auto"/>
        <w:jc w:val="both"/>
        <w:rPr>
          <w:rFonts w:ascii="Arial" w:hAnsi="Arial" w:cs="Arial"/>
          <w:sz w:val="16"/>
          <w:szCs w:val="16"/>
        </w:rPr>
      </w:pPr>
    </w:p>
    <w:p w14:paraId="2EA081EF"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 xml:space="preserve">Muros de arrimo e obras de contenção; </w:t>
      </w:r>
    </w:p>
    <w:p w14:paraId="5EA57B99" w14:textId="77777777" w:rsidR="00530440" w:rsidRPr="00530440" w:rsidRDefault="00530440" w:rsidP="00530440">
      <w:pPr>
        <w:suppressAutoHyphens/>
        <w:spacing w:after="0" w:line="240" w:lineRule="auto"/>
        <w:jc w:val="both"/>
        <w:rPr>
          <w:rFonts w:ascii="Arial" w:hAnsi="Arial" w:cs="Arial"/>
          <w:sz w:val="16"/>
          <w:szCs w:val="16"/>
        </w:rPr>
      </w:pPr>
    </w:p>
    <w:p w14:paraId="0D838B41" w14:textId="77777777" w:rsidR="00530440" w:rsidRPr="00530440" w:rsidRDefault="00530440" w:rsidP="00530440">
      <w:pPr>
        <w:suppressAutoHyphens/>
        <w:spacing w:after="0" w:line="240" w:lineRule="auto"/>
        <w:jc w:val="both"/>
        <w:rPr>
          <w:rFonts w:ascii="Arial" w:hAnsi="Arial" w:cs="Arial"/>
          <w:sz w:val="16"/>
          <w:szCs w:val="16"/>
        </w:rPr>
      </w:pPr>
      <w:r w:rsidRPr="00530440">
        <w:rPr>
          <w:rFonts w:ascii="Arial" w:hAnsi="Arial" w:cs="Arial"/>
          <w:sz w:val="16"/>
          <w:szCs w:val="16"/>
        </w:rPr>
        <w:t>Refinarias, plataformas de prospecção e exploração de petróleo;</w:t>
      </w:r>
    </w:p>
    <w:p w14:paraId="0A81FAF5" w14:textId="77777777" w:rsidR="00530440" w:rsidRPr="00530440" w:rsidRDefault="00530440" w:rsidP="00530440">
      <w:pPr>
        <w:pStyle w:val="PargrafodaLista"/>
        <w:suppressAutoHyphens/>
        <w:spacing w:after="0" w:line="240" w:lineRule="auto"/>
        <w:ind w:left="1080"/>
        <w:jc w:val="both"/>
        <w:rPr>
          <w:rFonts w:ascii="Arial" w:hAnsi="Arial" w:cs="Arial"/>
          <w:sz w:val="16"/>
          <w:szCs w:val="16"/>
        </w:rPr>
      </w:pPr>
    </w:p>
    <w:p w14:paraId="37854147" w14:textId="77777777" w:rsidR="00530440" w:rsidRPr="00530440" w:rsidRDefault="00530440" w:rsidP="00530440">
      <w:pPr>
        <w:pStyle w:val="PargrafodaLista"/>
        <w:suppressAutoHyphens/>
        <w:spacing w:after="0" w:line="240" w:lineRule="auto"/>
        <w:ind w:left="1080"/>
        <w:jc w:val="both"/>
        <w:rPr>
          <w:rFonts w:ascii="Arial" w:hAnsi="Arial" w:cs="Arial"/>
          <w:sz w:val="16"/>
          <w:szCs w:val="16"/>
        </w:rPr>
      </w:pPr>
    </w:p>
    <w:p w14:paraId="0E260415" w14:textId="77777777" w:rsidR="00530440" w:rsidRPr="00530440" w:rsidRDefault="00530440" w:rsidP="00530440">
      <w:pPr>
        <w:pStyle w:val="PargrafodaLista"/>
        <w:numPr>
          <w:ilvl w:val="1"/>
          <w:numId w:val="1"/>
        </w:numPr>
        <w:suppressAutoHyphens/>
        <w:spacing w:after="0" w:line="240" w:lineRule="auto"/>
        <w:jc w:val="both"/>
        <w:rPr>
          <w:rFonts w:ascii="Arial" w:hAnsi="Arial" w:cs="Arial"/>
          <w:sz w:val="16"/>
          <w:szCs w:val="16"/>
        </w:rPr>
      </w:pPr>
      <w:r w:rsidRPr="00530440">
        <w:rPr>
          <w:rFonts w:ascii="Arial" w:hAnsi="Arial" w:cs="Arial"/>
          <w:sz w:val="16"/>
          <w:szCs w:val="16"/>
        </w:rPr>
        <w:t>Convém ressaltar esta modalidade, ou seja, Pregão e Sistema de Registro de Preço apresenta uma grande vantagem para o poder público, pois possibilita um planejamento efetivo com os gastos com a Iluminação Pública, pois por estar atrelado à Contribuição de Iluminação Pública (CIP), os serviços a serem executados, estarão vinculados à sobra de caixa verificado após o fechamento das despesas coberta pela CIP, possibilitando a total transparência com os gastos com a Iluminação Pública.</w:t>
      </w:r>
    </w:p>
    <w:p w14:paraId="63775173" w14:textId="77777777" w:rsidR="00530440" w:rsidRPr="00530440" w:rsidRDefault="00530440" w:rsidP="00530440">
      <w:pPr>
        <w:pStyle w:val="Corpodetexto"/>
        <w:tabs>
          <w:tab w:val="left" w:pos="0"/>
        </w:tabs>
        <w:rPr>
          <w:rFonts w:ascii="Arial" w:hAnsi="Arial" w:cs="Arial"/>
          <w:sz w:val="16"/>
          <w:szCs w:val="16"/>
        </w:rPr>
      </w:pPr>
      <w:r w:rsidRPr="00530440">
        <w:rPr>
          <w:rFonts w:ascii="Arial" w:hAnsi="Arial" w:cs="Arial"/>
          <w:sz w:val="16"/>
          <w:szCs w:val="16"/>
        </w:rPr>
        <w:tab/>
      </w:r>
      <w:r w:rsidRPr="00530440">
        <w:rPr>
          <w:rFonts w:ascii="Arial" w:hAnsi="Arial" w:cs="Arial"/>
          <w:sz w:val="16"/>
          <w:szCs w:val="16"/>
        </w:rPr>
        <w:tab/>
      </w:r>
      <w:r w:rsidRPr="00530440">
        <w:rPr>
          <w:rFonts w:ascii="Arial" w:hAnsi="Arial" w:cs="Arial"/>
          <w:sz w:val="16"/>
          <w:szCs w:val="16"/>
        </w:rPr>
        <w:tab/>
      </w:r>
      <w:r w:rsidRPr="00530440">
        <w:rPr>
          <w:rFonts w:ascii="Arial" w:hAnsi="Arial" w:cs="Arial"/>
          <w:sz w:val="16"/>
          <w:szCs w:val="16"/>
        </w:rPr>
        <w:tab/>
      </w:r>
    </w:p>
    <w:p w14:paraId="1E18BB3C" w14:textId="4E56A85F" w:rsidR="00167B0A" w:rsidRDefault="00167B0A" w:rsidP="00167B0A">
      <w:pPr>
        <w:pStyle w:val="Default"/>
        <w:spacing w:after="280"/>
        <w:rPr>
          <w:sz w:val="16"/>
          <w:szCs w:val="16"/>
        </w:rPr>
      </w:pPr>
      <w:r w:rsidRPr="00530440">
        <w:rPr>
          <w:sz w:val="16"/>
          <w:szCs w:val="16"/>
        </w:rPr>
        <w:t xml:space="preserve">4. Envie o Edital e seus Anexos, em especial os arquivos referentes ao Projeto Básico, em meio digital editável, nas extensões DWG para desenhos, XLS ou XLSX para planilhas e DOC ou DOCX para textos, conforme § 3º do art. 2º da Deliberação nº 280 deste Tribunal de Contas. </w:t>
      </w:r>
    </w:p>
    <w:p w14:paraId="6D86344D" w14:textId="79E8B834" w:rsidR="00214DFE" w:rsidRPr="00423DB4" w:rsidRDefault="00214DFE" w:rsidP="00167B0A">
      <w:pPr>
        <w:pStyle w:val="Default"/>
        <w:spacing w:after="280"/>
        <w:rPr>
          <w:b/>
          <w:bCs/>
          <w:color w:val="auto"/>
          <w:sz w:val="16"/>
          <w:szCs w:val="16"/>
        </w:rPr>
      </w:pPr>
      <w:r w:rsidRPr="00423DB4">
        <w:rPr>
          <w:b/>
          <w:bCs/>
          <w:color w:val="auto"/>
          <w:sz w:val="16"/>
          <w:szCs w:val="16"/>
        </w:rPr>
        <w:t>RESPOSTA:</w:t>
      </w:r>
    </w:p>
    <w:p w14:paraId="6FEFA4D0" w14:textId="34605C7F" w:rsidR="00214DFE" w:rsidRDefault="000D6FE7" w:rsidP="00167B0A">
      <w:pPr>
        <w:pStyle w:val="Default"/>
        <w:spacing w:after="280"/>
        <w:rPr>
          <w:color w:val="auto"/>
          <w:sz w:val="16"/>
          <w:szCs w:val="16"/>
        </w:rPr>
      </w:pPr>
      <w:r>
        <w:rPr>
          <w:color w:val="auto"/>
          <w:sz w:val="16"/>
          <w:szCs w:val="16"/>
        </w:rPr>
        <w:t>ANEXO</w:t>
      </w:r>
      <w:r w:rsidR="00DA1B33">
        <w:rPr>
          <w:color w:val="auto"/>
          <w:sz w:val="16"/>
          <w:szCs w:val="16"/>
        </w:rPr>
        <w:t xml:space="preserve"> I – RELAÇÃO DE SERVIÇOS PLANEJADOS</w:t>
      </w:r>
      <w:r w:rsidR="006A30A1">
        <w:rPr>
          <w:color w:val="auto"/>
          <w:sz w:val="16"/>
          <w:szCs w:val="16"/>
        </w:rPr>
        <w:t xml:space="preserve"> (PLANILHA EM EXCEL)</w:t>
      </w:r>
    </w:p>
    <w:p w14:paraId="4C4A4F9C" w14:textId="04AAF929" w:rsidR="006A30A1" w:rsidRDefault="006A30A1" w:rsidP="00167B0A">
      <w:pPr>
        <w:pStyle w:val="Default"/>
        <w:spacing w:after="280"/>
        <w:rPr>
          <w:color w:val="auto"/>
          <w:sz w:val="16"/>
          <w:szCs w:val="16"/>
        </w:rPr>
      </w:pPr>
      <w:r>
        <w:rPr>
          <w:color w:val="auto"/>
          <w:sz w:val="16"/>
          <w:szCs w:val="16"/>
        </w:rPr>
        <w:t xml:space="preserve">ANEXO </w:t>
      </w:r>
      <w:r w:rsidR="00570D15">
        <w:rPr>
          <w:color w:val="auto"/>
          <w:sz w:val="16"/>
          <w:szCs w:val="16"/>
        </w:rPr>
        <w:t>II - (</w:t>
      </w:r>
      <w:r w:rsidR="003924CE">
        <w:rPr>
          <w:color w:val="auto"/>
          <w:sz w:val="16"/>
          <w:szCs w:val="16"/>
        </w:rPr>
        <w:t xml:space="preserve">ARQUIVO DIGITAL) </w:t>
      </w:r>
      <w:r>
        <w:rPr>
          <w:color w:val="auto"/>
          <w:sz w:val="16"/>
          <w:szCs w:val="16"/>
        </w:rPr>
        <w:t>– LEVANTAMENTO DE CAMPO DAS SOLICITAÇÕES DE INSTALAÇÃO DE NOVAS LUMINÁRIAS (CROQUI)</w:t>
      </w:r>
    </w:p>
    <w:p w14:paraId="2B2D343B" w14:textId="30AB3999" w:rsidR="006A30A1" w:rsidRDefault="006A30A1" w:rsidP="00167B0A">
      <w:pPr>
        <w:pStyle w:val="Default"/>
        <w:spacing w:after="280"/>
        <w:rPr>
          <w:color w:val="auto"/>
          <w:sz w:val="16"/>
          <w:szCs w:val="16"/>
        </w:rPr>
      </w:pPr>
    </w:p>
    <w:p w14:paraId="33CD5F93" w14:textId="77777777" w:rsidR="003924CE" w:rsidRDefault="003924CE" w:rsidP="00167B0A">
      <w:pPr>
        <w:pStyle w:val="Default"/>
        <w:spacing w:after="280"/>
        <w:rPr>
          <w:color w:val="auto"/>
          <w:sz w:val="16"/>
          <w:szCs w:val="16"/>
        </w:rPr>
      </w:pPr>
    </w:p>
    <w:p w14:paraId="3774A5E7" w14:textId="110D5C53" w:rsidR="006A30A1" w:rsidRDefault="006A30A1" w:rsidP="00167B0A">
      <w:pPr>
        <w:pStyle w:val="Default"/>
        <w:spacing w:after="280"/>
        <w:rPr>
          <w:color w:val="auto"/>
          <w:sz w:val="16"/>
          <w:szCs w:val="16"/>
        </w:rPr>
      </w:pPr>
    </w:p>
    <w:p w14:paraId="489B9001" w14:textId="77777777" w:rsidR="006A30A1" w:rsidRDefault="006A30A1" w:rsidP="00167B0A">
      <w:pPr>
        <w:pStyle w:val="Default"/>
        <w:spacing w:after="280"/>
        <w:rPr>
          <w:color w:val="auto"/>
          <w:sz w:val="16"/>
          <w:szCs w:val="16"/>
        </w:rPr>
      </w:pPr>
    </w:p>
    <w:p w14:paraId="35D3B0AF" w14:textId="77777777" w:rsidR="00167B0A" w:rsidRPr="00530440" w:rsidRDefault="00167B0A" w:rsidP="00167B0A">
      <w:pPr>
        <w:pStyle w:val="Default"/>
        <w:rPr>
          <w:sz w:val="16"/>
          <w:szCs w:val="16"/>
        </w:rPr>
      </w:pPr>
      <w:r w:rsidRPr="00530440">
        <w:rPr>
          <w:sz w:val="16"/>
          <w:szCs w:val="16"/>
        </w:rPr>
        <w:lastRenderedPageBreak/>
        <w:t xml:space="preserve">5. Apresente 02 (duas) planilhas orçamentárias, uma com custos desonerados e com alíquota de INSS de 4,5% no BDI e outra com custos sem desoneração e sem alíquota de INSS no BDI, considerando os modelos de contribuição destinada à seguridade social conforme as Leis Federais nº 8.212/91 e 12.546/11 e observando, preliminarmente, a possibilidade de desoneração, segundo os grupos de Classificação Nacional de Atividade Econômica – CNAE, adotando como limite de aceitabilidade de preço a planilha com o menor preço global. </w:t>
      </w:r>
    </w:p>
    <w:p w14:paraId="152DF2C8" w14:textId="77777777" w:rsidR="00167B0A" w:rsidRPr="00530440" w:rsidRDefault="00167B0A" w:rsidP="00167B0A">
      <w:pPr>
        <w:pStyle w:val="Default"/>
        <w:rPr>
          <w:sz w:val="16"/>
          <w:szCs w:val="16"/>
        </w:rPr>
      </w:pPr>
      <w:r w:rsidRPr="00530440">
        <w:rPr>
          <w:sz w:val="16"/>
          <w:szCs w:val="16"/>
        </w:rPr>
        <w:t xml:space="preserve">2792 </w:t>
      </w:r>
    </w:p>
    <w:p w14:paraId="1EC7A7E4" w14:textId="268140BD" w:rsidR="00167B0A" w:rsidRDefault="00167B0A" w:rsidP="00167B0A">
      <w:pPr>
        <w:pStyle w:val="Default"/>
        <w:rPr>
          <w:color w:val="auto"/>
          <w:sz w:val="16"/>
          <w:szCs w:val="16"/>
        </w:rPr>
      </w:pPr>
    </w:p>
    <w:p w14:paraId="7BE28CFB" w14:textId="77777777" w:rsidR="006A30A1" w:rsidRPr="00423DB4" w:rsidRDefault="006A30A1" w:rsidP="006A30A1">
      <w:pPr>
        <w:pStyle w:val="Default"/>
        <w:spacing w:after="280"/>
        <w:rPr>
          <w:b/>
          <w:bCs/>
          <w:color w:val="auto"/>
          <w:sz w:val="16"/>
          <w:szCs w:val="16"/>
        </w:rPr>
      </w:pPr>
      <w:r w:rsidRPr="00423DB4">
        <w:rPr>
          <w:b/>
          <w:bCs/>
          <w:color w:val="auto"/>
          <w:sz w:val="16"/>
          <w:szCs w:val="16"/>
        </w:rPr>
        <w:t>RESPOSTA:</w:t>
      </w:r>
    </w:p>
    <w:p w14:paraId="33651E84" w14:textId="55B21549" w:rsidR="000C41B0" w:rsidRDefault="000C41B0" w:rsidP="00167B0A">
      <w:pPr>
        <w:pStyle w:val="Default"/>
        <w:rPr>
          <w:color w:val="auto"/>
          <w:sz w:val="16"/>
          <w:szCs w:val="16"/>
        </w:rPr>
      </w:pPr>
      <w:r>
        <w:rPr>
          <w:color w:val="auto"/>
          <w:sz w:val="16"/>
          <w:szCs w:val="16"/>
        </w:rPr>
        <w:t>ANEXO III – CÁLCULO DO BDI COM ALÍQUOTA DE INSS DE 4,5% - DESONERADO (DIFERENCIADO)</w:t>
      </w:r>
    </w:p>
    <w:p w14:paraId="72D9F97F" w14:textId="2F456DE8" w:rsidR="000C41B0" w:rsidRDefault="000C41B0" w:rsidP="00167B0A">
      <w:pPr>
        <w:pStyle w:val="Default"/>
        <w:rPr>
          <w:color w:val="auto"/>
          <w:sz w:val="16"/>
          <w:szCs w:val="16"/>
        </w:rPr>
      </w:pPr>
    </w:p>
    <w:p w14:paraId="15961EFF" w14:textId="39CAC192" w:rsidR="000C41B0" w:rsidRDefault="000C41B0" w:rsidP="00167B0A">
      <w:pPr>
        <w:pStyle w:val="Default"/>
        <w:rPr>
          <w:color w:val="auto"/>
          <w:sz w:val="16"/>
          <w:szCs w:val="16"/>
        </w:rPr>
      </w:pPr>
      <w:r>
        <w:rPr>
          <w:color w:val="auto"/>
          <w:sz w:val="16"/>
          <w:szCs w:val="16"/>
        </w:rPr>
        <w:t>ANEXO IV - CÁLCULO DO BDI COM ALÍQUOTA DE INSS DE 4,5% - DESONERADO (PADRÃO)</w:t>
      </w:r>
    </w:p>
    <w:p w14:paraId="31E66360" w14:textId="77777777" w:rsidR="000C41B0" w:rsidRDefault="000C41B0" w:rsidP="00167B0A">
      <w:pPr>
        <w:pStyle w:val="Default"/>
        <w:rPr>
          <w:color w:val="auto"/>
          <w:sz w:val="16"/>
          <w:szCs w:val="16"/>
        </w:rPr>
      </w:pPr>
    </w:p>
    <w:p w14:paraId="479D62C2" w14:textId="5F76FD8E" w:rsidR="006A30A1" w:rsidRDefault="00384658" w:rsidP="00167B0A">
      <w:pPr>
        <w:pStyle w:val="Default"/>
        <w:rPr>
          <w:color w:val="auto"/>
          <w:sz w:val="16"/>
          <w:szCs w:val="16"/>
        </w:rPr>
      </w:pPr>
      <w:r>
        <w:rPr>
          <w:color w:val="auto"/>
          <w:sz w:val="16"/>
          <w:szCs w:val="16"/>
        </w:rPr>
        <w:t xml:space="preserve">ANEXO </w:t>
      </w:r>
      <w:r w:rsidR="000C41B0">
        <w:rPr>
          <w:color w:val="auto"/>
          <w:sz w:val="16"/>
          <w:szCs w:val="16"/>
        </w:rPr>
        <w:t>V</w:t>
      </w:r>
      <w:r>
        <w:rPr>
          <w:color w:val="auto"/>
          <w:sz w:val="16"/>
          <w:szCs w:val="16"/>
        </w:rPr>
        <w:t xml:space="preserve"> </w:t>
      </w:r>
      <w:r w:rsidR="00764B7D">
        <w:rPr>
          <w:color w:val="auto"/>
          <w:sz w:val="16"/>
          <w:szCs w:val="16"/>
        </w:rPr>
        <w:t>–</w:t>
      </w:r>
      <w:r>
        <w:rPr>
          <w:color w:val="auto"/>
          <w:sz w:val="16"/>
          <w:szCs w:val="16"/>
        </w:rPr>
        <w:t xml:space="preserve"> </w:t>
      </w:r>
      <w:r w:rsidR="00764B7D">
        <w:rPr>
          <w:color w:val="auto"/>
          <w:sz w:val="16"/>
          <w:szCs w:val="16"/>
        </w:rPr>
        <w:t>PLANILHA ORÇAMENTÁRIA DESONERADO.</w:t>
      </w:r>
    </w:p>
    <w:p w14:paraId="2A1C46D1" w14:textId="555508AB" w:rsidR="000C41B0" w:rsidRDefault="000C41B0" w:rsidP="00167B0A">
      <w:pPr>
        <w:pStyle w:val="Default"/>
        <w:rPr>
          <w:color w:val="auto"/>
          <w:sz w:val="16"/>
          <w:szCs w:val="16"/>
        </w:rPr>
      </w:pPr>
    </w:p>
    <w:p w14:paraId="6DDE0B37" w14:textId="0A36E578" w:rsidR="000C41B0" w:rsidRDefault="000C41B0" w:rsidP="000C41B0">
      <w:pPr>
        <w:pStyle w:val="Default"/>
        <w:rPr>
          <w:color w:val="auto"/>
          <w:sz w:val="16"/>
          <w:szCs w:val="16"/>
        </w:rPr>
      </w:pPr>
      <w:r>
        <w:rPr>
          <w:color w:val="auto"/>
          <w:sz w:val="16"/>
          <w:szCs w:val="16"/>
        </w:rPr>
        <w:t xml:space="preserve">ANEXO VI – CÁLCULO DO BDI </w:t>
      </w:r>
      <w:r w:rsidR="0061146C">
        <w:rPr>
          <w:color w:val="auto"/>
          <w:sz w:val="16"/>
          <w:szCs w:val="16"/>
        </w:rPr>
        <w:t>SEM</w:t>
      </w:r>
      <w:r>
        <w:rPr>
          <w:color w:val="auto"/>
          <w:sz w:val="16"/>
          <w:szCs w:val="16"/>
        </w:rPr>
        <w:t xml:space="preserve"> ALÍQUOTA DE INSS DE 4,5% - ONERADO (DIFERENCIADO)</w:t>
      </w:r>
    </w:p>
    <w:p w14:paraId="7A612CD8" w14:textId="77777777" w:rsidR="000C41B0" w:rsidRDefault="000C41B0" w:rsidP="000C41B0">
      <w:pPr>
        <w:pStyle w:val="Default"/>
        <w:rPr>
          <w:color w:val="auto"/>
          <w:sz w:val="16"/>
          <w:szCs w:val="16"/>
        </w:rPr>
      </w:pPr>
    </w:p>
    <w:p w14:paraId="7D026203" w14:textId="0B17FB7A" w:rsidR="000C41B0" w:rsidRDefault="000C41B0" w:rsidP="000C41B0">
      <w:pPr>
        <w:pStyle w:val="Default"/>
        <w:rPr>
          <w:color w:val="auto"/>
          <w:sz w:val="16"/>
          <w:szCs w:val="16"/>
        </w:rPr>
      </w:pPr>
      <w:r>
        <w:rPr>
          <w:color w:val="auto"/>
          <w:sz w:val="16"/>
          <w:szCs w:val="16"/>
        </w:rPr>
        <w:t xml:space="preserve">ANEXO VII - CÁLCULO DO BDI </w:t>
      </w:r>
      <w:r w:rsidR="0061146C">
        <w:rPr>
          <w:color w:val="auto"/>
          <w:sz w:val="16"/>
          <w:szCs w:val="16"/>
        </w:rPr>
        <w:t>SEM</w:t>
      </w:r>
      <w:r>
        <w:rPr>
          <w:color w:val="auto"/>
          <w:sz w:val="16"/>
          <w:szCs w:val="16"/>
        </w:rPr>
        <w:t xml:space="preserve"> ALÍQUOTA DE INSS DE 4,5% - ONERADO (PADRÃO)</w:t>
      </w:r>
    </w:p>
    <w:p w14:paraId="3A3A6915" w14:textId="77777777" w:rsidR="000C41B0" w:rsidRDefault="000C41B0" w:rsidP="00167B0A">
      <w:pPr>
        <w:pStyle w:val="Default"/>
        <w:rPr>
          <w:color w:val="auto"/>
          <w:sz w:val="16"/>
          <w:szCs w:val="16"/>
        </w:rPr>
      </w:pPr>
    </w:p>
    <w:p w14:paraId="46F62142" w14:textId="2C69D0EA" w:rsidR="00764B7D" w:rsidRDefault="00764B7D" w:rsidP="00167B0A">
      <w:pPr>
        <w:pStyle w:val="Default"/>
        <w:rPr>
          <w:color w:val="auto"/>
          <w:sz w:val="16"/>
          <w:szCs w:val="16"/>
        </w:rPr>
      </w:pPr>
      <w:r>
        <w:rPr>
          <w:color w:val="auto"/>
          <w:sz w:val="16"/>
          <w:szCs w:val="16"/>
        </w:rPr>
        <w:t xml:space="preserve">ANEXO </w:t>
      </w:r>
      <w:r w:rsidR="0061146C">
        <w:rPr>
          <w:color w:val="auto"/>
          <w:sz w:val="16"/>
          <w:szCs w:val="16"/>
        </w:rPr>
        <w:t>VIII</w:t>
      </w:r>
      <w:r>
        <w:rPr>
          <w:color w:val="auto"/>
          <w:sz w:val="16"/>
          <w:szCs w:val="16"/>
        </w:rPr>
        <w:t xml:space="preserve"> – PLANILHA ORÇAMENTÁRIA ONERADO</w:t>
      </w:r>
    </w:p>
    <w:p w14:paraId="72807466" w14:textId="44FE73A0" w:rsidR="00A32E9C" w:rsidRDefault="00A32E9C" w:rsidP="00167B0A">
      <w:pPr>
        <w:pStyle w:val="Default"/>
        <w:rPr>
          <w:color w:val="auto"/>
          <w:sz w:val="16"/>
          <w:szCs w:val="16"/>
        </w:rPr>
      </w:pPr>
    </w:p>
    <w:p w14:paraId="4109FA78" w14:textId="4A4C4270" w:rsidR="00167B0A" w:rsidRDefault="00167B0A" w:rsidP="00167B0A">
      <w:pPr>
        <w:pStyle w:val="Default"/>
        <w:spacing w:after="280"/>
        <w:rPr>
          <w:color w:val="auto"/>
          <w:sz w:val="16"/>
          <w:szCs w:val="16"/>
        </w:rPr>
      </w:pPr>
      <w:r w:rsidRPr="00530440">
        <w:rPr>
          <w:color w:val="auto"/>
          <w:sz w:val="16"/>
          <w:szCs w:val="16"/>
        </w:rPr>
        <w:t xml:space="preserve">6. Numere sequencialmente os itens das planilhas orçamentárias, a fim de possibilitar melhor acompanhamento e medição na execução contratual. </w:t>
      </w:r>
    </w:p>
    <w:p w14:paraId="3B8C289D" w14:textId="77777777" w:rsidR="00A32E9C" w:rsidRPr="00423DB4" w:rsidRDefault="00A32E9C" w:rsidP="00A32E9C">
      <w:pPr>
        <w:pStyle w:val="Default"/>
        <w:spacing w:after="280"/>
        <w:rPr>
          <w:b/>
          <w:bCs/>
          <w:color w:val="auto"/>
          <w:sz w:val="16"/>
          <w:szCs w:val="16"/>
        </w:rPr>
      </w:pPr>
      <w:r w:rsidRPr="00423DB4">
        <w:rPr>
          <w:b/>
          <w:bCs/>
          <w:color w:val="auto"/>
          <w:sz w:val="16"/>
          <w:szCs w:val="16"/>
        </w:rPr>
        <w:t>RESPOSTA:</w:t>
      </w:r>
    </w:p>
    <w:p w14:paraId="34EF8DC2" w14:textId="77777777" w:rsidR="00A32E9C" w:rsidRDefault="00A32E9C" w:rsidP="00A32E9C">
      <w:pPr>
        <w:pStyle w:val="Default"/>
        <w:rPr>
          <w:color w:val="auto"/>
          <w:sz w:val="16"/>
          <w:szCs w:val="16"/>
        </w:rPr>
      </w:pPr>
    </w:p>
    <w:p w14:paraId="46414B25" w14:textId="77777777" w:rsidR="00A32E9C" w:rsidRDefault="00A32E9C" w:rsidP="00A32E9C">
      <w:pPr>
        <w:pStyle w:val="Default"/>
        <w:rPr>
          <w:color w:val="auto"/>
          <w:sz w:val="16"/>
          <w:szCs w:val="16"/>
        </w:rPr>
      </w:pPr>
      <w:r>
        <w:rPr>
          <w:color w:val="auto"/>
          <w:sz w:val="16"/>
          <w:szCs w:val="16"/>
        </w:rPr>
        <w:t>ANEXO VIII – PLANILHA ORÇAMENTÁRIA ONERADO</w:t>
      </w:r>
    </w:p>
    <w:p w14:paraId="6A9D9C90" w14:textId="77777777" w:rsidR="00A32E9C" w:rsidRPr="00530440" w:rsidRDefault="00A32E9C" w:rsidP="00167B0A">
      <w:pPr>
        <w:pStyle w:val="Default"/>
        <w:spacing w:after="280"/>
        <w:rPr>
          <w:color w:val="auto"/>
          <w:sz w:val="16"/>
          <w:szCs w:val="16"/>
        </w:rPr>
      </w:pPr>
    </w:p>
    <w:p w14:paraId="36DAB0A6" w14:textId="787AE73A" w:rsidR="00167B0A" w:rsidRDefault="00167B0A" w:rsidP="00167B0A">
      <w:pPr>
        <w:pStyle w:val="Default"/>
        <w:spacing w:after="280"/>
        <w:rPr>
          <w:color w:val="auto"/>
          <w:sz w:val="16"/>
          <w:szCs w:val="16"/>
        </w:rPr>
      </w:pPr>
      <w:r w:rsidRPr="00530440">
        <w:rPr>
          <w:color w:val="auto"/>
          <w:sz w:val="16"/>
          <w:szCs w:val="16"/>
        </w:rPr>
        <w:t xml:space="preserve">7. Apresente as cotações de preço utilizadas nas pesquisas de mercado que deram origem aos preços estimados de fornecimentos nos itens de códigos: 01.999.004-0, IP05.05.83397, 1025.0150-1, IP50.05.0999-1, IP50.05.0999-2, IP50.05.0999-3, IP50.05.0999-4 e IP15.43.0200-1 da planilha orçamentária, contendo as especificações completas do material cotado e respectiva data de cotação, ampliando as pesquisas de mercado realizadas para a determinação do preço unitário estimado de todos os itens de serviços orçados, com consulta ao maior número possível de fornecedores, ao mínimo de três, e incluindo a adoção, por exemplo, de ferramentas de tecnologia da informação, com o intuito de obter fiel estimativa de preço médio de mercado do objeto a ser licitado, nos termos da Súmula nº 02 de 19.06.2018 desta Corte de Contas. </w:t>
      </w:r>
    </w:p>
    <w:p w14:paraId="585FFA24" w14:textId="77777777" w:rsidR="00185018" w:rsidRPr="00423DB4" w:rsidRDefault="00185018" w:rsidP="00185018">
      <w:pPr>
        <w:pStyle w:val="Default"/>
        <w:spacing w:after="280"/>
        <w:rPr>
          <w:b/>
          <w:bCs/>
          <w:color w:val="auto"/>
          <w:sz w:val="16"/>
          <w:szCs w:val="16"/>
        </w:rPr>
      </w:pPr>
      <w:r w:rsidRPr="00423DB4">
        <w:rPr>
          <w:b/>
          <w:bCs/>
          <w:color w:val="auto"/>
          <w:sz w:val="16"/>
          <w:szCs w:val="16"/>
        </w:rPr>
        <w:t>RESPOSTA:</w:t>
      </w:r>
    </w:p>
    <w:p w14:paraId="750C1CD4" w14:textId="27DF6370" w:rsidR="00185018" w:rsidRDefault="00185018" w:rsidP="00185018">
      <w:pPr>
        <w:pStyle w:val="Default"/>
        <w:rPr>
          <w:color w:val="auto"/>
          <w:sz w:val="16"/>
          <w:szCs w:val="16"/>
        </w:rPr>
      </w:pPr>
      <w:r>
        <w:rPr>
          <w:color w:val="auto"/>
          <w:sz w:val="16"/>
          <w:szCs w:val="16"/>
        </w:rPr>
        <w:t>ITEM 2 / CÓDIGO 01.99.004-0</w:t>
      </w:r>
    </w:p>
    <w:p w14:paraId="6E12A6BC" w14:textId="5C937E65" w:rsidR="00185018" w:rsidRDefault="00185018" w:rsidP="00185018">
      <w:pPr>
        <w:pStyle w:val="Default"/>
        <w:rPr>
          <w:color w:val="auto"/>
          <w:sz w:val="16"/>
          <w:szCs w:val="16"/>
        </w:rPr>
      </w:pPr>
    </w:p>
    <w:p w14:paraId="32E09D8F" w14:textId="0EB606EC" w:rsidR="00185018" w:rsidRDefault="00185018" w:rsidP="00185018">
      <w:pPr>
        <w:pStyle w:val="Default"/>
        <w:rPr>
          <w:color w:val="auto"/>
          <w:sz w:val="16"/>
          <w:szCs w:val="16"/>
        </w:rPr>
      </w:pPr>
      <w:r>
        <w:rPr>
          <w:color w:val="auto"/>
          <w:sz w:val="16"/>
          <w:szCs w:val="16"/>
        </w:rPr>
        <w:t>ITEM 11 / CÓDIGO IP 05.05.83397</w:t>
      </w:r>
    </w:p>
    <w:p w14:paraId="0867C123" w14:textId="0F69230D" w:rsidR="00185018" w:rsidRDefault="00185018" w:rsidP="00185018">
      <w:pPr>
        <w:pStyle w:val="Default"/>
        <w:rPr>
          <w:color w:val="auto"/>
          <w:sz w:val="16"/>
          <w:szCs w:val="16"/>
        </w:rPr>
      </w:pPr>
    </w:p>
    <w:p w14:paraId="70FB445F" w14:textId="423EBF63" w:rsidR="00185018" w:rsidRDefault="00185018" w:rsidP="00185018">
      <w:pPr>
        <w:pStyle w:val="Default"/>
        <w:rPr>
          <w:color w:val="auto"/>
          <w:sz w:val="16"/>
          <w:szCs w:val="16"/>
        </w:rPr>
      </w:pPr>
      <w:r>
        <w:rPr>
          <w:color w:val="auto"/>
          <w:sz w:val="16"/>
          <w:szCs w:val="16"/>
        </w:rPr>
        <w:t>ITEM 15 / CÓDIGO 10.25.0150-1</w:t>
      </w:r>
    </w:p>
    <w:p w14:paraId="797C347D" w14:textId="2CF698B8" w:rsidR="00185018" w:rsidRDefault="00185018" w:rsidP="00185018">
      <w:pPr>
        <w:pStyle w:val="Default"/>
        <w:rPr>
          <w:color w:val="auto"/>
          <w:sz w:val="16"/>
          <w:szCs w:val="16"/>
        </w:rPr>
      </w:pPr>
    </w:p>
    <w:p w14:paraId="3D269A13" w14:textId="6BB4D9FF" w:rsidR="00185018" w:rsidRDefault="00185018" w:rsidP="00185018">
      <w:pPr>
        <w:pStyle w:val="Default"/>
        <w:rPr>
          <w:color w:val="auto"/>
          <w:sz w:val="16"/>
          <w:szCs w:val="16"/>
        </w:rPr>
      </w:pPr>
      <w:r>
        <w:rPr>
          <w:color w:val="auto"/>
          <w:sz w:val="16"/>
          <w:szCs w:val="16"/>
        </w:rPr>
        <w:t>ITEM 27 / CÓDIGO IP 50.05.0999-1</w:t>
      </w:r>
    </w:p>
    <w:p w14:paraId="17196B14" w14:textId="6ABBE65A" w:rsidR="00185018" w:rsidRDefault="00185018" w:rsidP="00185018">
      <w:pPr>
        <w:pStyle w:val="Default"/>
        <w:rPr>
          <w:color w:val="auto"/>
          <w:sz w:val="16"/>
          <w:szCs w:val="16"/>
        </w:rPr>
      </w:pPr>
    </w:p>
    <w:p w14:paraId="7E10FED3" w14:textId="17CE4FDE" w:rsidR="00185018" w:rsidRDefault="00185018" w:rsidP="00185018">
      <w:pPr>
        <w:pStyle w:val="Default"/>
        <w:rPr>
          <w:color w:val="auto"/>
          <w:sz w:val="16"/>
          <w:szCs w:val="16"/>
        </w:rPr>
      </w:pPr>
      <w:r>
        <w:rPr>
          <w:color w:val="auto"/>
          <w:sz w:val="16"/>
          <w:szCs w:val="16"/>
        </w:rPr>
        <w:t>ITEM 28 / CÓDIGO IP 50.05.0999-2</w:t>
      </w:r>
    </w:p>
    <w:p w14:paraId="6D0CDF15" w14:textId="77777777" w:rsidR="00185018" w:rsidRDefault="00185018" w:rsidP="00185018">
      <w:pPr>
        <w:pStyle w:val="Default"/>
        <w:rPr>
          <w:color w:val="auto"/>
          <w:sz w:val="16"/>
          <w:szCs w:val="16"/>
        </w:rPr>
      </w:pPr>
    </w:p>
    <w:p w14:paraId="21D72157" w14:textId="46A96952" w:rsidR="00185018" w:rsidRDefault="00185018" w:rsidP="00185018">
      <w:pPr>
        <w:pStyle w:val="Default"/>
        <w:rPr>
          <w:color w:val="auto"/>
          <w:sz w:val="16"/>
          <w:szCs w:val="16"/>
        </w:rPr>
      </w:pPr>
      <w:r>
        <w:rPr>
          <w:color w:val="auto"/>
          <w:sz w:val="16"/>
          <w:szCs w:val="16"/>
        </w:rPr>
        <w:t>ITEM 29 / CÓDIGO IP 50.05.0999-3</w:t>
      </w:r>
    </w:p>
    <w:p w14:paraId="5526D20F" w14:textId="77777777" w:rsidR="00185018" w:rsidRDefault="00185018" w:rsidP="00185018">
      <w:pPr>
        <w:pStyle w:val="Default"/>
        <w:rPr>
          <w:color w:val="auto"/>
          <w:sz w:val="16"/>
          <w:szCs w:val="16"/>
        </w:rPr>
      </w:pPr>
    </w:p>
    <w:p w14:paraId="5F4D855F" w14:textId="619CC45E" w:rsidR="00185018" w:rsidRDefault="00185018" w:rsidP="00185018">
      <w:pPr>
        <w:pStyle w:val="Default"/>
        <w:rPr>
          <w:color w:val="auto"/>
          <w:sz w:val="16"/>
          <w:szCs w:val="16"/>
        </w:rPr>
      </w:pPr>
      <w:r>
        <w:rPr>
          <w:color w:val="auto"/>
          <w:sz w:val="16"/>
          <w:szCs w:val="16"/>
        </w:rPr>
        <w:t>ITEM 30 / CÓDIGO IP 50.05.0999-4</w:t>
      </w:r>
    </w:p>
    <w:p w14:paraId="3A0B05BE" w14:textId="77777777" w:rsidR="00185018" w:rsidRDefault="00185018" w:rsidP="00185018">
      <w:pPr>
        <w:pStyle w:val="Default"/>
        <w:rPr>
          <w:color w:val="auto"/>
          <w:sz w:val="16"/>
          <w:szCs w:val="16"/>
        </w:rPr>
      </w:pPr>
    </w:p>
    <w:p w14:paraId="3C0286E5" w14:textId="55C30C21" w:rsidR="00185018" w:rsidRDefault="00185018" w:rsidP="00185018">
      <w:pPr>
        <w:pStyle w:val="Default"/>
        <w:rPr>
          <w:color w:val="auto"/>
          <w:sz w:val="16"/>
          <w:szCs w:val="16"/>
        </w:rPr>
      </w:pPr>
      <w:r>
        <w:rPr>
          <w:color w:val="auto"/>
          <w:sz w:val="16"/>
          <w:szCs w:val="16"/>
        </w:rPr>
        <w:t>ITEM 37 / CÓDIGO IP 15.43.0200-1</w:t>
      </w:r>
    </w:p>
    <w:p w14:paraId="4580ED00" w14:textId="77777777" w:rsidR="00185018" w:rsidRDefault="00185018" w:rsidP="00185018">
      <w:pPr>
        <w:pStyle w:val="Default"/>
        <w:rPr>
          <w:color w:val="auto"/>
          <w:sz w:val="16"/>
          <w:szCs w:val="16"/>
        </w:rPr>
      </w:pPr>
    </w:p>
    <w:p w14:paraId="02FD3804" w14:textId="08CC57D2" w:rsidR="00185018" w:rsidRDefault="00185018" w:rsidP="00185018">
      <w:pPr>
        <w:pStyle w:val="Default"/>
        <w:rPr>
          <w:color w:val="auto"/>
          <w:sz w:val="16"/>
          <w:szCs w:val="16"/>
        </w:rPr>
      </w:pPr>
    </w:p>
    <w:p w14:paraId="2251B815" w14:textId="340FB839" w:rsidR="00AB5992" w:rsidRDefault="00AB5992" w:rsidP="00185018">
      <w:pPr>
        <w:pStyle w:val="Default"/>
        <w:rPr>
          <w:color w:val="auto"/>
          <w:sz w:val="16"/>
          <w:szCs w:val="16"/>
        </w:rPr>
      </w:pPr>
    </w:p>
    <w:p w14:paraId="5A1B3E31" w14:textId="77777777" w:rsidR="00AB5992" w:rsidRDefault="00AB5992" w:rsidP="00185018">
      <w:pPr>
        <w:pStyle w:val="Default"/>
        <w:rPr>
          <w:color w:val="auto"/>
          <w:sz w:val="16"/>
          <w:szCs w:val="16"/>
        </w:rPr>
      </w:pPr>
    </w:p>
    <w:p w14:paraId="0B4DA7AF" w14:textId="77777777" w:rsidR="00185018" w:rsidRDefault="00185018" w:rsidP="00185018">
      <w:pPr>
        <w:pStyle w:val="Default"/>
        <w:rPr>
          <w:color w:val="auto"/>
          <w:sz w:val="16"/>
          <w:szCs w:val="16"/>
        </w:rPr>
      </w:pPr>
    </w:p>
    <w:p w14:paraId="4F725A33" w14:textId="77777777" w:rsidR="00185018" w:rsidRDefault="00185018" w:rsidP="00185018">
      <w:pPr>
        <w:pStyle w:val="Default"/>
        <w:rPr>
          <w:color w:val="auto"/>
          <w:sz w:val="16"/>
          <w:szCs w:val="16"/>
        </w:rPr>
      </w:pPr>
    </w:p>
    <w:p w14:paraId="2164CB86" w14:textId="77777777" w:rsidR="00185018" w:rsidRDefault="00185018" w:rsidP="00185018">
      <w:pPr>
        <w:pStyle w:val="Default"/>
        <w:rPr>
          <w:color w:val="auto"/>
          <w:sz w:val="16"/>
          <w:szCs w:val="16"/>
        </w:rPr>
      </w:pPr>
    </w:p>
    <w:p w14:paraId="6CBAE47A" w14:textId="77777777" w:rsidR="00185018" w:rsidRDefault="00185018" w:rsidP="00185018">
      <w:pPr>
        <w:pStyle w:val="Default"/>
        <w:rPr>
          <w:color w:val="auto"/>
          <w:sz w:val="16"/>
          <w:szCs w:val="16"/>
        </w:rPr>
      </w:pPr>
    </w:p>
    <w:p w14:paraId="1E059CE0" w14:textId="77777777" w:rsidR="00185018" w:rsidRDefault="00185018" w:rsidP="00167B0A">
      <w:pPr>
        <w:pStyle w:val="Default"/>
        <w:spacing w:after="280"/>
        <w:rPr>
          <w:color w:val="auto"/>
          <w:sz w:val="16"/>
          <w:szCs w:val="16"/>
        </w:rPr>
      </w:pPr>
    </w:p>
    <w:p w14:paraId="40D6CDA7" w14:textId="77777777" w:rsidR="00B20D54" w:rsidRPr="00530440" w:rsidRDefault="00B20D54" w:rsidP="00167B0A">
      <w:pPr>
        <w:pStyle w:val="Default"/>
        <w:spacing w:after="280"/>
        <w:rPr>
          <w:color w:val="auto"/>
          <w:sz w:val="16"/>
          <w:szCs w:val="16"/>
        </w:rPr>
      </w:pPr>
    </w:p>
    <w:p w14:paraId="7EB7AF16" w14:textId="0678C7B4" w:rsidR="00167B0A" w:rsidRDefault="00167B0A" w:rsidP="00167B0A">
      <w:pPr>
        <w:pStyle w:val="Default"/>
        <w:spacing w:after="280"/>
        <w:rPr>
          <w:color w:val="auto"/>
          <w:sz w:val="16"/>
          <w:szCs w:val="16"/>
        </w:rPr>
      </w:pPr>
      <w:r w:rsidRPr="00530440">
        <w:rPr>
          <w:color w:val="auto"/>
          <w:sz w:val="16"/>
          <w:szCs w:val="16"/>
        </w:rPr>
        <w:lastRenderedPageBreak/>
        <w:t xml:space="preserve">8. Apresente justificativa técnica para a inclusão de profissional de instalação e manutenção de equipamentos e caminhão com cesto duplo nas composições dos itens de códigos: IP50.40.0106-1 e IP15.05.0150-1 da planilha orçamentária. </w:t>
      </w:r>
    </w:p>
    <w:p w14:paraId="5C5F10B4" w14:textId="77777777" w:rsidR="000B32BC" w:rsidRDefault="000B32BC" w:rsidP="000B32BC">
      <w:pPr>
        <w:pStyle w:val="Default"/>
        <w:spacing w:after="280"/>
        <w:rPr>
          <w:b/>
          <w:bCs/>
          <w:color w:val="FF0000"/>
          <w:sz w:val="16"/>
          <w:szCs w:val="16"/>
        </w:rPr>
      </w:pPr>
      <w:r>
        <w:rPr>
          <w:b/>
          <w:bCs/>
          <w:color w:val="FF0000"/>
          <w:sz w:val="16"/>
          <w:szCs w:val="16"/>
        </w:rPr>
        <w:t>RESPOSTA:</w:t>
      </w:r>
    </w:p>
    <w:p w14:paraId="0C9940FB" w14:textId="77777777" w:rsidR="000B32BC" w:rsidRPr="004424AA" w:rsidRDefault="000B32BC" w:rsidP="000B32BC">
      <w:pPr>
        <w:pStyle w:val="Default"/>
        <w:rPr>
          <w:b/>
          <w:bCs/>
          <w:color w:val="FF0000"/>
          <w:sz w:val="16"/>
          <w:szCs w:val="16"/>
        </w:rPr>
      </w:pPr>
      <w:r w:rsidRPr="004424AA">
        <w:rPr>
          <w:b/>
          <w:bCs/>
          <w:color w:val="FF0000"/>
          <w:sz w:val="16"/>
          <w:szCs w:val="16"/>
        </w:rPr>
        <w:t xml:space="preserve">ITEM 32 / CÓDIGO IP 50.40.0106-1   </w:t>
      </w:r>
    </w:p>
    <w:p w14:paraId="3E30C5F0" w14:textId="77777777" w:rsidR="000B32BC" w:rsidRDefault="000B32BC" w:rsidP="000B32BC">
      <w:pPr>
        <w:pStyle w:val="Default"/>
        <w:rPr>
          <w:color w:val="auto"/>
          <w:sz w:val="16"/>
          <w:szCs w:val="16"/>
        </w:rPr>
      </w:pPr>
    </w:p>
    <w:p w14:paraId="2B16D4E4" w14:textId="77777777" w:rsidR="000B32BC" w:rsidRDefault="000B32BC" w:rsidP="000B32BC">
      <w:pPr>
        <w:pStyle w:val="Default"/>
        <w:rPr>
          <w:color w:val="auto"/>
          <w:sz w:val="16"/>
          <w:szCs w:val="16"/>
        </w:rPr>
      </w:pPr>
      <w:r>
        <w:rPr>
          <w:color w:val="auto"/>
          <w:sz w:val="16"/>
          <w:szCs w:val="16"/>
        </w:rPr>
        <w:t>JUSTIFICATIVA;</w:t>
      </w:r>
    </w:p>
    <w:p w14:paraId="50F89D28" w14:textId="77777777" w:rsidR="000B32BC" w:rsidRDefault="000B32BC" w:rsidP="000B32BC">
      <w:pPr>
        <w:pStyle w:val="Default"/>
        <w:rPr>
          <w:color w:val="auto"/>
          <w:sz w:val="16"/>
          <w:szCs w:val="16"/>
        </w:rPr>
      </w:pPr>
    </w:p>
    <w:p w14:paraId="4610BBE2" w14:textId="7D603F3A" w:rsidR="000B32BC" w:rsidRDefault="000B32BC" w:rsidP="000638DE">
      <w:pPr>
        <w:pStyle w:val="Default"/>
        <w:jc w:val="both"/>
        <w:rPr>
          <w:color w:val="auto"/>
          <w:sz w:val="16"/>
          <w:szCs w:val="16"/>
        </w:rPr>
      </w:pPr>
      <w:r>
        <w:rPr>
          <w:color w:val="auto"/>
          <w:sz w:val="16"/>
          <w:szCs w:val="16"/>
        </w:rPr>
        <w:t xml:space="preserve">Na formatação deste item utilizou como base o item IP 50.40.0106 do boletim de custo da SCO, conforme pode ser observado que na composição deste item estão somente inclusos a mão de obra de </w:t>
      </w:r>
      <w:r w:rsidR="00B01099">
        <w:rPr>
          <w:color w:val="auto"/>
          <w:sz w:val="16"/>
          <w:szCs w:val="16"/>
        </w:rPr>
        <w:t xml:space="preserve">ajudante de </w:t>
      </w:r>
      <w:r>
        <w:rPr>
          <w:color w:val="auto"/>
          <w:sz w:val="16"/>
          <w:szCs w:val="16"/>
        </w:rPr>
        <w:t xml:space="preserve">montador eletromecânico e o percentual para cobrir despesas de EPI, </w:t>
      </w:r>
      <w:r w:rsidR="003550F9">
        <w:rPr>
          <w:color w:val="auto"/>
          <w:sz w:val="16"/>
          <w:szCs w:val="16"/>
        </w:rPr>
        <w:t>ficando de fora da composição a mão de obra de profissional</w:t>
      </w:r>
      <w:r w:rsidR="00B01099">
        <w:rPr>
          <w:color w:val="auto"/>
          <w:sz w:val="16"/>
          <w:szCs w:val="16"/>
        </w:rPr>
        <w:t xml:space="preserve"> para executar a colocação da luminária e a sua conexão à rede elétrica, bem como o meio de acesso ao ponto de colocação da luminária, sendo que este ponto por ser elevado, necessita de veículo apropriado para esta finalidade. Deste forma, para tornar a apropriação do item dentro da realidade do serviço a ser executado há a necessidade de se incluir na sua composição a mão de obra de profissional de instalação e manutenção de equipamentos, com periculosidade (Insumo SCO MOD002300) e a inclusão de caminhão com cesto aéreo</w:t>
      </w:r>
      <w:r>
        <w:rPr>
          <w:color w:val="auto"/>
          <w:sz w:val="16"/>
          <w:szCs w:val="16"/>
        </w:rPr>
        <w:t xml:space="preserve"> </w:t>
      </w:r>
      <w:r w:rsidR="00B01099">
        <w:rPr>
          <w:color w:val="auto"/>
          <w:sz w:val="16"/>
          <w:szCs w:val="16"/>
        </w:rPr>
        <w:t>para viabilizar o trabalho em altura (</w:t>
      </w:r>
      <w:r w:rsidR="000638DE">
        <w:rPr>
          <w:color w:val="auto"/>
          <w:sz w:val="16"/>
          <w:szCs w:val="16"/>
        </w:rPr>
        <w:t>composição  de custo entre três itens</w:t>
      </w:r>
      <w:r w:rsidR="007B2685">
        <w:rPr>
          <w:color w:val="auto"/>
          <w:sz w:val="16"/>
          <w:szCs w:val="16"/>
        </w:rPr>
        <w:t>:</w:t>
      </w:r>
      <w:r w:rsidR="000638DE">
        <w:rPr>
          <w:color w:val="auto"/>
          <w:sz w:val="16"/>
          <w:szCs w:val="16"/>
        </w:rPr>
        <w:t xml:space="preserve"> EQ 05.05.0450; EQ 05.05.0453 e EQ 05.05.0456),sendo que para o tempo de utilização tomou-se como parâmetro a média dos tempos dos itens envolvidos na instalação de uma luminária, tais como:</w:t>
      </w:r>
      <w:r w:rsidR="007B2685">
        <w:rPr>
          <w:color w:val="auto"/>
          <w:sz w:val="16"/>
          <w:szCs w:val="16"/>
        </w:rPr>
        <w:t xml:space="preserve"> </w:t>
      </w:r>
      <w:r w:rsidR="000638DE">
        <w:rPr>
          <w:color w:val="auto"/>
          <w:sz w:val="16"/>
          <w:szCs w:val="16"/>
        </w:rPr>
        <w:t>colocação de braço curto</w:t>
      </w:r>
      <w:r w:rsidR="007B2685">
        <w:rPr>
          <w:color w:val="auto"/>
          <w:sz w:val="16"/>
          <w:szCs w:val="16"/>
        </w:rPr>
        <w:t xml:space="preserve"> ou</w:t>
      </w:r>
      <w:r w:rsidR="000638DE">
        <w:rPr>
          <w:color w:val="auto"/>
          <w:sz w:val="16"/>
          <w:szCs w:val="16"/>
        </w:rPr>
        <w:t xml:space="preserve"> médio </w:t>
      </w:r>
      <w:r w:rsidR="007B2685">
        <w:rPr>
          <w:color w:val="auto"/>
          <w:sz w:val="16"/>
          <w:szCs w:val="16"/>
        </w:rPr>
        <w:t>ou</w:t>
      </w:r>
      <w:r w:rsidR="000638DE">
        <w:rPr>
          <w:color w:val="auto"/>
          <w:sz w:val="16"/>
          <w:szCs w:val="16"/>
        </w:rPr>
        <w:t xml:space="preserve"> longo, colocação de cabo, colocação da luminária, colocação de relê, colocação de conectores</w:t>
      </w:r>
      <w:r w:rsidR="007B2685">
        <w:rPr>
          <w:color w:val="auto"/>
          <w:sz w:val="16"/>
          <w:szCs w:val="16"/>
        </w:rPr>
        <w:t>, conforme demonstrado na documentação em anexo.</w:t>
      </w:r>
    </w:p>
    <w:p w14:paraId="0B049590" w14:textId="77777777" w:rsidR="000B32BC" w:rsidRDefault="000B32BC" w:rsidP="000B32BC">
      <w:pPr>
        <w:pStyle w:val="Default"/>
        <w:rPr>
          <w:color w:val="auto"/>
          <w:sz w:val="16"/>
          <w:szCs w:val="16"/>
        </w:rPr>
      </w:pPr>
    </w:p>
    <w:p w14:paraId="02BCFAAF" w14:textId="77777777" w:rsidR="004424AA" w:rsidRDefault="004424AA" w:rsidP="000B32BC">
      <w:pPr>
        <w:pStyle w:val="Default"/>
        <w:rPr>
          <w:color w:val="auto"/>
          <w:sz w:val="16"/>
          <w:szCs w:val="16"/>
        </w:rPr>
      </w:pPr>
    </w:p>
    <w:p w14:paraId="49EA5B3A" w14:textId="44E90636" w:rsidR="000B32BC" w:rsidRPr="004424AA" w:rsidRDefault="000B32BC" w:rsidP="000B32BC">
      <w:pPr>
        <w:pStyle w:val="Default"/>
        <w:rPr>
          <w:b/>
          <w:bCs/>
          <w:color w:val="FF0000"/>
          <w:sz w:val="16"/>
          <w:szCs w:val="16"/>
        </w:rPr>
      </w:pPr>
      <w:r w:rsidRPr="004424AA">
        <w:rPr>
          <w:b/>
          <w:bCs/>
          <w:color w:val="FF0000"/>
          <w:sz w:val="16"/>
          <w:szCs w:val="16"/>
        </w:rPr>
        <w:t>ITEM 11 / CÓDIGO IP 15.05.0150</w:t>
      </w:r>
    </w:p>
    <w:p w14:paraId="71221E15" w14:textId="77777777" w:rsidR="004424AA" w:rsidRDefault="004424AA" w:rsidP="004424AA">
      <w:pPr>
        <w:pStyle w:val="Default"/>
        <w:rPr>
          <w:color w:val="auto"/>
          <w:sz w:val="16"/>
          <w:szCs w:val="16"/>
        </w:rPr>
      </w:pPr>
    </w:p>
    <w:p w14:paraId="07657CFC" w14:textId="26E9C472" w:rsidR="004424AA" w:rsidRDefault="004424AA" w:rsidP="004424AA">
      <w:pPr>
        <w:pStyle w:val="Default"/>
        <w:rPr>
          <w:color w:val="auto"/>
          <w:sz w:val="16"/>
          <w:szCs w:val="16"/>
        </w:rPr>
      </w:pPr>
      <w:r>
        <w:rPr>
          <w:color w:val="auto"/>
          <w:sz w:val="16"/>
          <w:szCs w:val="16"/>
        </w:rPr>
        <w:t>JUSTIFICATIVA;</w:t>
      </w:r>
    </w:p>
    <w:p w14:paraId="5B78772F" w14:textId="77777777" w:rsidR="004424AA" w:rsidRDefault="004424AA" w:rsidP="004424AA">
      <w:pPr>
        <w:pStyle w:val="Default"/>
        <w:rPr>
          <w:color w:val="auto"/>
          <w:sz w:val="16"/>
          <w:szCs w:val="16"/>
        </w:rPr>
      </w:pPr>
    </w:p>
    <w:p w14:paraId="37812349" w14:textId="36B3F5D1" w:rsidR="004424AA" w:rsidRDefault="004424AA" w:rsidP="004424AA">
      <w:pPr>
        <w:pStyle w:val="Default"/>
        <w:jc w:val="both"/>
        <w:rPr>
          <w:color w:val="auto"/>
          <w:sz w:val="16"/>
          <w:szCs w:val="16"/>
        </w:rPr>
      </w:pPr>
      <w:r>
        <w:rPr>
          <w:color w:val="auto"/>
          <w:sz w:val="16"/>
          <w:szCs w:val="16"/>
        </w:rPr>
        <w:t>Na formatação deste item utilizou como base o item IP 15.05.0150 do boletim de custo da SCO, conforme pode ser observado que na composição deste item estão somente inclusos a mão de obra de ajudante de montador eletromecânico e o percentual para cobrir despesas de EPI, ficando de fora da composição a mão de obra de profissional para executar o lançamento do cabo elétrico , sua fixação no poste e a sua conexão à rede elétrica, bem como o meio para o transporte de  todo material necessário para a execução do serviço. Deste forma, para tornar a apropriação do item dentro da realidade do serviço a ser executado há a necessidade de se incluir na sua composição a mão de obra de profissional de instalação e manutenção de equipamentos, com periculosidade (Insumo SCO MOD002300) e a inclusão de caminhão carroceria ( ITEM SCO EQ 05.10.0050) para viabilizar o trabalho de transporte do poste e do material necessário para a execução do serviço, conforme demonstrado na documentação em anexo.</w:t>
      </w:r>
    </w:p>
    <w:p w14:paraId="6D4F9756" w14:textId="77777777" w:rsidR="004424AA" w:rsidRDefault="004424AA" w:rsidP="00167B0A">
      <w:pPr>
        <w:pStyle w:val="Default"/>
        <w:spacing w:after="280"/>
        <w:rPr>
          <w:color w:val="auto"/>
          <w:sz w:val="16"/>
          <w:szCs w:val="16"/>
        </w:rPr>
      </w:pPr>
    </w:p>
    <w:p w14:paraId="67C4D693" w14:textId="7BE3F877" w:rsidR="00167B0A" w:rsidRDefault="00167B0A" w:rsidP="00AE7A4C">
      <w:pPr>
        <w:pStyle w:val="Default"/>
        <w:spacing w:after="280"/>
        <w:jc w:val="both"/>
        <w:rPr>
          <w:color w:val="auto"/>
          <w:sz w:val="16"/>
          <w:szCs w:val="16"/>
        </w:rPr>
      </w:pPr>
      <w:r w:rsidRPr="00530440">
        <w:rPr>
          <w:color w:val="auto"/>
          <w:sz w:val="16"/>
          <w:szCs w:val="16"/>
        </w:rPr>
        <w:t xml:space="preserve">9. Revise as composições de custos e descrições dos itens de códigos: IP05.55.0100-1, IP05.55.0150-1 e IP05.55.0200-1 da planilha orçamentária, pois havendo interesse em compreender a colocação de braços, as composições devem contemplar, apenas, os custos de mão de obra e deve ser excluída da descrição o fornecimento de ferragens de fixação, pois as ferragens (parafusos, porcas e arruelas) foram compreendidas nos itens de códigos: 441, 431, 432, 4337 e 379 da planilha orçamentária. </w:t>
      </w:r>
    </w:p>
    <w:p w14:paraId="474BD3D2" w14:textId="77777777" w:rsidR="00E174F8" w:rsidRDefault="00E174F8" w:rsidP="00E174F8">
      <w:pPr>
        <w:pStyle w:val="Default"/>
        <w:spacing w:after="280"/>
        <w:rPr>
          <w:b/>
          <w:bCs/>
          <w:color w:val="FF0000"/>
          <w:sz w:val="16"/>
          <w:szCs w:val="16"/>
        </w:rPr>
      </w:pPr>
      <w:r>
        <w:rPr>
          <w:b/>
          <w:bCs/>
          <w:color w:val="FF0000"/>
          <w:sz w:val="16"/>
          <w:szCs w:val="16"/>
        </w:rPr>
        <w:t>RESPOSTA:</w:t>
      </w:r>
    </w:p>
    <w:p w14:paraId="4309E832" w14:textId="5C32A48B" w:rsidR="00E174F8" w:rsidRDefault="00E174F8" w:rsidP="00E174F8">
      <w:pPr>
        <w:pStyle w:val="Default"/>
        <w:rPr>
          <w:color w:val="auto"/>
          <w:sz w:val="16"/>
          <w:szCs w:val="16"/>
        </w:rPr>
      </w:pPr>
      <w:r>
        <w:rPr>
          <w:color w:val="auto"/>
          <w:sz w:val="16"/>
          <w:szCs w:val="16"/>
        </w:rPr>
        <w:t xml:space="preserve">ITEM 24 / CÓDIGO </w:t>
      </w:r>
      <w:r w:rsidR="003361EE">
        <w:rPr>
          <w:color w:val="auto"/>
          <w:sz w:val="16"/>
          <w:szCs w:val="16"/>
        </w:rPr>
        <w:t>IP 05.55.0100-1</w:t>
      </w:r>
    </w:p>
    <w:p w14:paraId="6E1D95E3" w14:textId="77777777" w:rsidR="00E174F8" w:rsidRDefault="00E174F8" w:rsidP="00E174F8">
      <w:pPr>
        <w:pStyle w:val="Default"/>
        <w:rPr>
          <w:color w:val="auto"/>
          <w:sz w:val="16"/>
          <w:szCs w:val="16"/>
        </w:rPr>
      </w:pPr>
    </w:p>
    <w:p w14:paraId="000C0980" w14:textId="12CE98B8" w:rsidR="00E174F8" w:rsidRDefault="00E174F8" w:rsidP="00E174F8">
      <w:pPr>
        <w:pStyle w:val="Default"/>
        <w:rPr>
          <w:color w:val="auto"/>
          <w:sz w:val="16"/>
          <w:szCs w:val="16"/>
        </w:rPr>
      </w:pPr>
      <w:r>
        <w:rPr>
          <w:color w:val="auto"/>
          <w:sz w:val="16"/>
          <w:szCs w:val="16"/>
        </w:rPr>
        <w:t xml:space="preserve">ITEM </w:t>
      </w:r>
      <w:r w:rsidR="003361EE">
        <w:rPr>
          <w:color w:val="auto"/>
          <w:sz w:val="16"/>
          <w:szCs w:val="16"/>
        </w:rPr>
        <w:t>25</w:t>
      </w:r>
      <w:r>
        <w:rPr>
          <w:color w:val="auto"/>
          <w:sz w:val="16"/>
          <w:szCs w:val="16"/>
        </w:rPr>
        <w:t xml:space="preserve"> / CÓDIGO IP 05.</w:t>
      </w:r>
      <w:r w:rsidR="003361EE">
        <w:rPr>
          <w:color w:val="auto"/>
          <w:sz w:val="16"/>
          <w:szCs w:val="16"/>
        </w:rPr>
        <w:t>55.0150-1</w:t>
      </w:r>
    </w:p>
    <w:p w14:paraId="68D5137E" w14:textId="77777777" w:rsidR="00E174F8" w:rsidRDefault="00E174F8" w:rsidP="00E174F8">
      <w:pPr>
        <w:pStyle w:val="Default"/>
        <w:rPr>
          <w:color w:val="auto"/>
          <w:sz w:val="16"/>
          <w:szCs w:val="16"/>
        </w:rPr>
      </w:pPr>
    </w:p>
    <w:p w14:paraId="5159B81E" w14:textId="5A41ADE7" w:rsidR="00E174F8" w:rsidRDefault="00E174F8" w:rsidP="00E174F8">
      <w:pPr>
        <w:pStyle w:val="Default"/>
        <w:rPr>
          <w:color w:val="auto"/>
          <w:sz w:val="16"/>
          <w:szCs w:val="16"/>
        </w:rPr>
      </w:pPr>
      <w:r>
        <w:rPr>
          <w:color w:val="auto"/>
          <w:sz w:val="16"/>
          <w:szCs w:val="16"/>
        </w:rPr>
        <w:t xml:space="preserve">ITEM </w:t>
      </w:r>
      <w:r w:rsidR="003361EE">
        <w:rPr>
          <w:color w:val="auto"/>
          <w:sz w:val="16"/>
          <w:szCs w:val="16"/>
        </w:rPr>
        <w:t xml:space="preserve"> 26</w:t>
      </w:r>
      <w:r>
        <w:rPr>
          <w:color w:val="auto"/>
          <w:sz w:val="16"/>
          <w:szCs w:val="16"/>
        </w:rPr>
        <w:t xml:space="preserve"> / CÓDIGO </w:t>
      </w:r>
      <w:r w:rsidR="003361EE">
        <w:rPr>
          <w:color w:val="auto"/>
          <w:sz w:val="16"/>
          <w:szCs w:val="16"/>
        </w:rPr>
        <w:t>IP 05</w:t>
      </w:r>
      <w:r>
        <w:rPr>
          <w:color w:val="auto"/>
          <w:sz w:val="16"/>
          <w:szCs w:val="16"/>
        </w:rPr>
        <w:t>.</w:t>
      </w:r>
      <w:r w:rsidR="003361EE">
        <w:rPr>
          <w:color w:val="auto"/>
          <w:sz w:val="16"/>
          <w:szCs w:val="16"/>
        </w:rPr>
        <w:t>55.200</w:t>
      </w:r>
      <w:r>
        <w:rPr>
          <w:color w:val="auto"/>
          <w:sz w:val="16"/>
          <w:szCs w:val="16"/>
        </w:rPr>
        <w:t>-1</w:t>
      </w:r>
    </w:p>
    <w:p w14:paraId="24B96211" w14:textId="76F3F645" w:rsidR="00D75E64" w:rsidRDefault="00D75E64" w:rsidP="00E174F8">
      <w:pPr>
        <w:pStyle w:val="Default"/>
        <w:rPr>
          <w:color w:val="auto"/>
          <w:sz w:val="16"/>
          <w:szCs w:val="16"/>
        </w:rPr>
      </w:pPr>
    </w:p>
    <w:p w14:paraId="7012AE9C" w14:textId="77777777" w:rsidR="00D75E64" w:rsidRDefault="00D75E64" w:rsidP="00D75E64">
      <w:pPr>
        <w:pStyle w:val="Default"/>
        <w:rPr>
          <w:color w:val="auto"/>
          <w:sz w:val="16"/>
          <w:szCs w:val="16"/>
        </w:rPr>
      </w:pPr>
      <w:r>
        <w:rPr>
          <w:color w:val="auto"/>
          <w:sz w:val="16"/>
          <w:szCs w:val="16"/>
        </w:rPr>
        <w:t>JUSTIFICATIVA;</w:t>
      </w:r>
    </w:p>
    <w:p w14:paraId="083BBBF1" w14:textId="17C1887E" w:rsidR="00D75E64" w:rsidRDefault="00D75E64" w:rsidP="00E174F8">
      <w:pPr>
        <w:pStyle w:val="Default"/>
        <w:rPr>
          <w:color w:val="auto"/>
          <w:sz w:val="16"/>
          <w:szCs w:val="16"/>
        </w:rPr>
      </w:pPr>
    </w:p>
    <w:p w14:paraId="73BFF24D" w14:textId="283CE483" w:rsidR="00E174F8" w:rsidRDefault="00D75E64" w:rsidP="008876D8">
      <w:pPr>
        <w:pStyle w:val="Default"/>
        <w:jc w:val="both"/>
        <w:rPr>
          <w:color w:val="auto"/>
          <w:sz w:val="16"/>
          <w:szCs w:val="16"/>
        </w:rPr>
      </w:pPr>
      <w:r>
        <w:rPr>
          <w:color w:val="auto"/>
          <w:sz w:val="16"/>
          <w:szCs w:val="16"/>
        </w:rPr>
        <w:t xml:space="preserve">Conforme demonstrado </w:t>
      </w:r>
      <w:r w:rsidR="00AE7A4C">
        <w:rPr>
          <w:color w:val="auto"/>
          <w:sz w:val="16"/>
          <w:szCs w:val="16"/>
        </w:rPr>
        <w:t>n</w:t>
      </w:r>
      <w:r>
        <w:rPr>
          <w:color w:val="auto"/>
          <w:sz w:val="16"/>
          <w:szCs w:val="16"/>
        </w:rPr>
        <w:t>a composição de</w:t>
      </w:r>
      <w:r w:rsidR="00AE7A4C">
        <w:rPr>
          <w:color w:val="auto"/>
          <w:sz w:val="16"/>
          <w:szCs w:val="16"/>
        </w:rPr>
        <w:t xml:space="preserve"> custo a mão de obra utilizada para a colocação dos braços em questão (Item 24 - IP 05.55.0100-1; Item 25 - IP 05.55.0150-1 e Item 26 - IP 05.55.0200-1) já está contemplada na composição de custo da colocação da luminária ( Item 31 – Código IP 50.40.0106-1), pois </w:t>
      </w:r>
      <w:r w:rsidR="00476843">
        <w:rPr>
          <w:color w:val="auto"/>
          <w:sz w:val="16"/>
          <w:szCs w:val="16"/>
        </w:rPr>
        <w:t>neste</w:t>
      </w:r>
      <w:r w:rsidR="00AE7A4C">
        <w:rPr>
          <w:color w:val="auto"/>
          <w:sz w:val="16"/>
          <w:szCs w:val="16"/>
        </w:rPr>
        <w:t xml:space="preserve"> item colocação de luminária (Item 31 – Código IP 50.40.0106-1)</w:t>
      </w:r>
      <w:r w:rsidR="00476843">
        <w:rPr>
          <w:color w:val="auto"/>
          <w:sz w:val="16"/>
          <w:szCs w:val="16"/>
        </w:rPr>
        <w:t xml:space="preserve"> </w:t>
      </w:r>
      <w:r w:rsidR="00AE7A4C">
        <w:rPr>
          <w:color w:val="auto"/>
          <w:sz w:val="16"/>
          <w:szCs w:val="16"/>
        </w:rPr>
        <w:t xml:space="preserve">o serviço a ser executado já contempla </w:t>
      </w:r>
      <w:r w:rsidR="00476843">
        <w:rPr>
          <w:color w:val="auto"/>
          <w:sz w:val="16"/>
          <w:szCs w:val="16"/>
        </w:rPr>
        <w:t>um conjunto de serviços, tais como:</w:t>
      </w:r>
      <w:r w:rsidR="00AE7A4C">
        <w:rPr>
          <w:color w:val="auto"/>
          <w:sz w:val="16"/>
          <w:szCs w:val="16"/>
        </w:rPr>
        <w:t xml:space="preserve"> colocação de braço curto ou médio ou longo, colocação de cabo, colocação da luminária, colocação de relê, colocação de conectores</w:t>
      </w:r>
      <w:r w:rsidR="00476843">
        <w:rPr>
          <w:color w:val="auto"/>
          <w:sz w:val="16"/>
          <w:szCs w:val="16"/>
        </w:rPr>
        <w:t>.</w:t>
      </w:r>
      <w:r w:rsidR="007F3D52">
        <w:rPr>
          <w:color w:val="auto"/>
          <w:sz w:val="16"/>
          <w:szCs w:val="16"/>
        </w:rPr>
        <w:t xml:space="preserve"> Desta forma a manutenção dos insumos (Arruela – MAT007700; Cinta – MAT033900; Parafuso – MAT093850; Porca – MAT106250) na composição do custo se justifica pelo motivo que estes braços serão colocados em postes onde não exista luminária instalada, ou seja, são pontos novos. Por outro lado, os materiais relacionados no Item 16 – Código 441, Item 17 – Código 431, Item </w:t>
      </w:r>
      <w:r w:rsidR="00444503">
        <w:rPr>
          <w:color w:val="auto"/>
          <w:sz w:val="16"/>
          <w:szCs w:val="16"/>
        </w:rPr>
        <w:t xml:space="preserve">18 – Código 432, Item 19 – Código 4337 e Item 20 – Código 379 foram incluídos na planilha orçamentária devido ao fato que como foi previsto a substituição de pontos de iluminação com lâmpadas de vapor de sódio ou mercúrio ou metálica  por luminárias com tecnologia LED,  nestes pontos os braços existentes, devido fato que não possuirmos levantamentos das condições em que se encontram, optou-se em </w:t>
      </w:r>
      <w:r w:rsidR="008876D8">
        <w:rPr>
          <w:color w:val="auto"/>
          <w:sz w:val="16"/>
          <w:szCs w:val="16"/>
        </w:rPr>
        <w:t>incluir na planilha estes itens de tal modo que estas ocorrências possam a ser</w:t>
      </w:r>
      <w:r w:rsidR="00444503">
        <w:rPr>
          <w:color w:val="auto"/>
          <w:sz w:val="16"/>
          <w:szCs w:val="16"/>
        </w:rPr>
        <w:t xml:space="preserve"> </w:t>
      </w:r>
      <w:r w:rsidR="008876D8">
        <w:rPr>
          <w:color w:val="auto"/>
          <w:sz w:val="16"/>
          <w:szCs w:val="16"/>
        </w:rPr>
        <w:t>pagas ao contratado, evitando desta forma que se faça posteriormente uma rerratificação da planilha para inclusão destes itens na planilha orçamentária. Convêm esclarecer que qualquer material a ser apropriado deverá ser comprovado pelo contratado através da apresentação de justificativa técnica da substituição e seu pagamento estará condicionado à aprovação do fiscal do contrato.</w:t>
      </w:r>
    </w:p>
    <w:p w14:paraId="43173342" w14:textId="6C163142" w:rsidR="008876D8" w:rsidRDefault="008876D8" w:rsidP="008876D8">
      <w:pPr>
        <w:pStyle w:val="Default"/>
        <w:jc w:val="both"/>
        <w:rPr>
          <w:color w:val="auto"/>
          <w:sz w:val="16"/>
          <w:szCs w:val="16"/>
        </w:rPr>
      </w:pPr>
    </w:p>
    <w:p w14:paraId="7FD7F6A1" w14:textId="77777777" w:rsidR="008876D8" w:rsidRDefault="008876D8" w:rsidP="00167B0A">
      <w:pPr>
        <w:pStyle w:val="Default"/>
        <w:rPr>
          <w:color w:val="auto"/>
          <w:sz w:val="16"/>
          <w:szCs w:val="16"/>
        </w:rPr>
      </w:pPr>
    </w:p>
    <w:p w14:paraId="7E52A041" w14:textId="5D46DF5A" w:rsidR="00167B0A" w:rsidRDefault="00167B0A" w:rsidP="000D2D15">
      <w:pPr>
        <w:pStyle w:val="Default"/>
        <w:jc w:val="both"/>
        <w:rPr>
          <w:color w:val="auto"/>
          <w:sz w:val="16"/>
          <w:szCs w:val="16"/>
        </w:rPr>
      </w:pPr>
      <w:r w:rsidRPr="00530440">
        <w:rPr>
          <w:color w:val="auto"/>
          <w:sz w:val="16"/>
          <w:szCs w:val="16"/>
        </w:rPr>
        <w:t>10. Substitua a quantificação em “meses” do item de código 01.999.004-0 da planilha orçamentária, relativo a ADMINISTRAÇÃO LOCAL, pela quantificação em 100(cem) unidades de custo unitário de R$ 6.302,43, correspondente a 1/100 do custo apurado pela composição própria do orçamentista (R$ 630.242,88), afim de viabilizar pagamentos proporcionais</w:t>
      </w:r>
      <w:r w:rsidR="00551C35">
        <w:rPr>
          <w:color w:val="auto"/>
          <w:sz w:val="16"/>
          <w:szCs w:val="16"/>
        </w:rPr>
        <w:t xml:space="preserve"> </w:t>
      </w:r>
      <w:r w:rsidR="00551C35" w:rsidRPr="00530440">
        <w:rPr>
          <w:color w:val="auto"/>
          <w:sz w:val="16"/>
          <w:szCs w:val="16"/>
        </w:rPr>
        <w:t>à execução financeira da obra, conforme atual orientação em Nota do Boletim EMOP.</w:t>
      </w:r>
      <w:r w:rsidRPr="00530440">
        <w:rPr>
          <w:color w:val="auto"/>
          <w:sz w:val="16"/>
          <w:szCs w:val="16"/>
        </w:rPr>
        <w:t xml:space="preserve"> </w:t>
      </w:r>
    </w:p>
    <w:p w14:paraId="06A5FB07" w14:textId="289BF4B7" w:rsidR="00551C35" w:rsidRDefault="00551C35" w:rsidP="000D2D15">
      <w:pPr>
        <w:pStyle w:val="Default"/>
        <w:jc w:val="both"/>
        <w:rPr>
          <w:color w:val="auto"/>
          <w:sz w:val="16"/>
          <w:szCs w:val="16"/>
        </w:rPr>
      </w:pPr>
    </w:p>
    <w:p w14:paraId="60D490B9" w14:textId="1D05DABF" w:rsidR="00551C35" w:rsidRDefault="00551C35" w:rsidP="00551C35">
      <w:pPr>
        <w:pStyle w:val="Default"/>
        <w:spacing w:after="280"/>
        <w:rPr>
          <w:b/>
          <w:bCs/>
          <w:color w:val="FF0000"/>
          <w:sz w:val="16"/>
          <w:szCs w:val="16"/>
        </w:rPr>
      </w:pPr>
    </w:p>
    <w:p w14:paraId="04A59F3E" w14:textId="60DAB66F" w:rsidR="00CA5BA2" w:rsidRDefault="00CA5BA2" w:rsidP="00551C35">
      <w:pPr>
        <w:pStyle w:val="Default"/>
        <w:spacing w:after="280"/>
        <w:rPr>
          <w:b/>
          <w:bCs/>
          <w:color w:val="FF0000"/>
          <w:sz w:val="16"/>
          <w:szCs w:val="16"/>
        </w:rPr>
      </w:pPr>
    </w:p>
    <w:p w14:paraId="4195A0E8" w14:textId="77777777" w:rsidR="00CA5BA2" w:rsidRDefault="00CA5BA2" w:rsidP="00551C35">
      <w:pPr>
        <w:pStyle w:val="Default"/>
        <w:spacing w:after="280"/>
        <w:rPr>
          <w:b/>
          <w:bCs/>
          <w:color w:val="FF0000"/>
          <w:sz w:val="16"/>
          <w:szCs w:val="16"/>
        </w:rPr>
      </w:pPr>
    </w:p>
    <w:p w14:paraId="2BBB9E1D" w14:textId="55C0FA1F" w:rsidR="00551C35" w:rsidRDefault="00551C35" w:rsidP="00551C35">
      <w:pPr>
        <w:pStyle w:val="Default"/>
        <w:spacing w:after="280"/>
        <w:rPr>
          <w:b/>
          <w:bCs/>
          <w:color w:val="FF0000"/>
          <w:sz w:val="16"/>
          <w:szCs w:val="16"/>
        </w:rPr>
      </w:pPr>
      <w:r>
        <w:rPr>
          <w:b/>
          <w:bCs/>
          <w:color w:val="FF0000"/>
          <w:sz w:val="16"/>
          <w:szCs w:val="16"/>
        </w:rPr>
        <w:t>RESPOSTA:</w:t>
      </w:r>
    </w:p>
    <w:p w14:paraId="67486D32" w14:textId="244AC34B" w:rsidR="00551C35" w:rsidRDefault="00551C35" w:rsidP="00551C35">
      <w:pPr>
        <w:pStyle w:val="Default"/>
        <w:spacing w:after="280"/>
        <w:rPr>
          <w:b/>
          <w:bCs/>
          <w:color w:val="FF0000"/>
          <w:sz w:val="16"/>
          <w:szCs w:val="16"/>
        </w:rPr>
      </w:pPr>
    </w:p>
    <w:p w14:paraId="6332D402" w14:textId="2FFC40AC" w:rsidR="00CA5BA2" w:rsidRDefault="00CA5BA2" w:rsidP="00551C35">
      <w:pPr>
        <w:pStyle w:val="Default"/>
        <w:spacing w:after="280"/>
        <w:rPr>
          <w:b/>
          <w:bCs/>
          <w:color w:val="FF0000"/>
          <w:sz w:val="16"/>
          <w:szCs w:val="16"/>
        </w:rPr>
      </w:pPr>
    </w:p>
    <w:p w14:paraId="7B49C831" w14:textId="77777777" w:rsidR="00CA5BA2" w:rsidRDefault="00CA5BA2" w:rsidP="00551C35">
      <w:pPr>
        <w:pStyle w:val="Default"/>
        <w:spacing w:after="280"/>
        <w:rPr>
          <w:b/>
          <w:bCs/>
          <w:color w:val="FF0000"/>
          <w:sz w:val="16"/>
          <w:szCs w:val="16"/>
        </w:rPr>
      </w:pPr>
    </w:p>
    <w:tbl>
      <w:tblPr>
        <w:tblW w:w="8478" w:type="dxa"/>
        <w:tblCellMar>
          <w:left w:w="70" w:type="dxa"/>
          <w:right w:w="70" w:type="dxa"/>
        </w:tblCellMar>
        <w:tblLook w:val="04A0" w:firstRow="1" w:lastRow="0" w:firstColumn="1" w:lastColumn="0" w:noHBand="0" w:noVBand="1"/>
      </w:tblPr>
      <w:tblGrid>
        <w:gridCol w:w="487"/>
        <w:gridCol w:w="1101"/>
        <w:gridCol w:w="1339"/>
        <w:gridCol w:w="754"/>
        <w:gridCol w:w="764"/>
        <w:gridCol w:w="965"/>
        <w:gridCol w:w="1024"/>
        <w:gridCol w:w="146"/>
        <w:gridCol w:w="146"/>
        <w:gridCol w:w="146"/>
        <w:gridCol w:w="146"/>
        <w:gridCol w:w="146"/>
        <w:gridCol w:w="146"/>
        <w:gridCol w:w="146"/>
        <w:gridCol w:w="146"/>
        <w:gridCol w:w="146"/>
        <w:gridCol w:w="146"/>
        <w:gridCol w:w="146"/>
        <w:gridCol w:w="146"/>
        <w:gridCol w:w="146"/>
        <w:gridCol w:w="146"/>
      </w:tblGrid>
      <w:tr w:rsidR="00551C35" w:rsidRPr="00551C35" w14:paraId="0D2D2EF3" w14:textId="77777777" w:rsidTr="00551C35">
        <w:trPr>
          <w:trHeight w:val="237"/>
        </w:trPr>
        <w:tc>
          <w:tcPr>
            <w:tcW w:w="0" w:type="auto"/>
            <w:tcBorders>
              <w:top w:val="nil"/>
              <w:left w:val="nil"/>
              <w:bottom w:val="nil"/>
              <w:right w:val="nil"/>
            </w:tcBorders>
            <w:shd w:val="clear" w:color="auto" w:fill="auto"/>
            <w:noWrap/>
            <w:vAlign w:val="center"/>
            <w:hideMark/>
          </w:tcPr>
          <w:p w14:paraId="6CEDAEB2" w14:textId="77777777" w:rsidR="00551C35" w:rsidRPr="00551C35" w:rsidRDefault="00551C35" w:rsidP="00551C35">
            <w:pPr>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shd w:val="clear" w:color="auto" w:fill="auto"/>
            <w:noWrap/>
            <w:vAlign w:val="center"/>
            <w:hideMark/>
          </w:tcPr>
          <w:p w14:paraId="7553E317"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2E3BD015"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7AA90A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757CBE32"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D996858"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1144CC44"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75D0D72"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7D97F7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DFCDDA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8CFA06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048DE9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68F2A0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D4C481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275F29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1E7939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C151B4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0C491C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019DD4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B4BDAE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81949B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6906A243" w14:textId="77777777" w:rsidTr="00551C35">
        <w:trPr>
          <w:trHeight w:val="237"/>
        </w:trPr>
        <w:tc>
          <w:tcPr>
            <w:tcW w:w="0" w:type="auto"/>
            <w:tcBorders>
              <w:top w:val="nil"/>
              <w:left w:val="nil"/>
              <w:bottom w:val="nil"/>
              <w:right w:val="nil"/>
            </w:tcBorders>
            <w:shd w:val="clear" w:color="auto" w:fill="auto"/>
            <w:noWrap/>
            <w:vAlign w:val="center"/>
            <w:hideMark/>
          </w:tcPr>
          <w:p w14:paraId="196EC85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4A097871"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ITEM ATUAL</w:t>
            </w:r>
          </w:p>
        </w:tc>
        <w:tc>
          <w:tcPr>
            <w:tcW w:w="0" w:type="auto"/>
            <w:tcBorders>
              <w:top w:val="nil"/>
              <w:left w:val="nil"/>
              <w:bottom w:val="nil"/>
              <w:right w:val="nil"/>
            </w:tcBorders>
            <w:shd w:val="clear" w:color="auto" w:fill="auto"/>
            <w:noWrap/>
            <w:vAlign w:val="bottom"/>
            <w:hideMark/>
          </w:tcPr>
          <w:p w14:paraId="685E6D07"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0989878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C21F62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DEE00E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EA56EC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B972EA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1E62B7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61E49C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302019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F038F3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69AF66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1EB555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C368E0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3F27F3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0B2F4109" w14:textId="77777777" w:rsidTr="00551C35">
        <w:trPr>
          <w:trHeight w:val="237"/>
        </w:trPr>
        <w:tc>
          <w:tcPr>
            <w:tcW w:w="0" w:type="auto"/>
            <w:tcBorders>
              <w:top w:val="nil"/>
              <w:left w:val="nil"/>
              <w:bottom w:val="nil"/>
              <w:right w:val="nil"/>
            </w:tcBorders>
            <w:shd w:val="clear" w:color="auto" w:fill="auto"/>
            <w:noWrap/>
            <w:vAlign w:val="center"/>
            <w:hideMark/>
          </w:tcPr>
          <w:p w14:paraId="3E8BE34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hideMark/>
          </w:tcPr>
          <w:p w14:paraId="179A9C5F"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216D94D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03F4F6D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67AF83E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53642C4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5038732"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366561E"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802854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3BFE07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3130FD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D52B5E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919CEE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E23B8F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B7C443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9527D8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CA7564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AA5A34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F75D18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5F50A9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4A4A3D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28D946A7" w14:textId="77777777" w:rsidTr="00551C35">
        <w:trPr>
          <w:trHeight w:val="237"/>
        </w:trPr>
        <w:tc>
          <w:tcPr>
            <w:tcW w:w="0" w:type="auto"/>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EB164" w14:textId="77777777" w:rsidR="00551C35" w:rsidRPr="00551C35" w:rsidRDefault="00551C35" w:rsidP="00551C35">
            <w:pPr>
              <w:spacing w:after="0" w:line="240" w:lineRule="auto"/>
              <w:jc w:val="center"/>
              <w:rPr>
                <w:rFonts w:ascii="Arial" w:eastAsia="Times New Roman" w:hAnsi="Arial" w:cs="Arial"/>
                <w:color w:val="000000"/>
                <w:sz w:val="16"/>
                <w:szCs w:val="16"/>
                <w:lang w:eastAsia="pt-BR"/>
              </w:rPr>
            </w:pPr>
            <w:r w:rsidRPr="00551C35">
              <w:rPr>
                <w:rFonts w:ascii="Arial" w:eastAsia="Times New Roman" w:hAnsi="Arial" w:cs="Arial"/>
                <w:color w:val="000000"/>
                <w:sz w:val="16"/>
                <w:szCs w:val="16"/>
                <w:lang w:eastAsia="pt-BR"/>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4808DE"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QUANT.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8907AF"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UNID.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F8B903" w14:textId="77777777" w:rsidR="00551C35" w:rsidRPr="00551C35" w:rsidRDefault="00551C35" w:rsidP="00551C35">
            <w:pPr>
              <w:spacing w:after="0" w:line="240" w:lineRule="auto"/>
              <w:jc w:val="center"/>
              <w:rPr>
                <w:rFonts w:ascii="Arial" w:eastAsia="Times New Roman" w:hAnsi="Arial" w:cs="Arial"/>
                <w:b/>
                <w:bCs/>
                <w:color w:val="000000"/>
                <w:sz w:val="16"/>
                <w:szCs w:val="16"/>
                <w:lang w:eastAsia="pt-BR"/>
              </w:rPr>
            </w:pPr>
            <w:r w:rsidRPr="00551C35">
              <w:rPr>
                <w:rFonts w:ascii="Arial" w:eastAsia="Times New Roman" w:hAnsi="Arial" w:cs="Arial"/>
                <w:b/>
                <w:bCs/>
                <w:color w:val="000000"/>
                <w:sz w:val="16"/>
                <w:szCs w:val="16"/>
                <w:lang w:eastAsia="pt-BR"/>
              </w:rPr>
              <w:t>Custo Unitário 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DE8C45" w14:textId="77777777" w:rsidR="00551C35" w:rsidRPr="00551C35" w:rsidRDefault="00551C35" w:rsidP="00551C35">
            <w:pPr>
              <w:spacing w:after="0" w:line="240" w:lineRule="auto"/>
              <w:jc w:val="center"/>
              <w:rPr>
                <w:rFonts w:ascii="Arial" w:eastAsia="Times New Roman" w:hAnsi="Arial" w:cs="Arial"/>
                <w:b/>
                <w:bCs/>
                <w:color w:val="000000"/>
                <w:sz w:val="16"/>
                <w:szCs w:val="16"/>
                <w:lang w:eastAsia="pt-BR"/>
              </w:rPr>
            </w:pPr>
            <w:r w:rsidRPr="00551C35">
              <w:rPr>
                <w:rFonts w:ascii="Arial" w:eastAsia="Times New Roman" w:hAnsi="Arial" w:cs="Arial"/>
                <w:b/>
                <w:bCs/>
                <w:color w:val="000000"/>
                <w:sz w:val="16"/>
                <w:szCs w:val="16"/>
                <w:lang w:eastAsia="pt-BR"/>
              </w:rPr>
              <w:t>Custo Parcial R$</w:t>
            </w:r>
          </w:p>
        </w:tc>
        <w:tc>
          <w:tcPr>
            <w:tcW w:w="0" w:type="auto"/>
            <w:tcBorders>
              <w:top w:val="nil"/>
              <w:left w:val="nil"/>
              <w:bottom w:val="nil"/>
              <w:right w:val="nil"/>
            </w:tcBorders>
            <w:shd w:val="clear" w:color="auto" w:fill="auto"/>
            <w:noWrap/>
            <w:vAlign w:val="bottom"/>
            <w:hideMark/>
          </w:tcPr>
          <w:p w14:paraId="7DB80748" w14:textId="77777777" w:rsidR="00551C35" w:rsidRPr="00551C35" w:rsidRDefault="00551C35" w:rsidP="00551C35">
            <w:pPr>
              <w:spacing w:after="0" w:line="240" w:lineRule="auto"/>
              <w:jc w:val="center"/>
              <w:rPr>
                <w:rFonts w:ascii="Arial" w:eastAsia="Times New Roman" w:hAnsi="Arial" w:cs="Arial"/>
                <w:b/>
                <w:bCs/>
                <w:color w:val="000000"/>
                <w:sz w:val="16"/>
                <w:szCs w:val="16"/>
                <w:lang w:eastAsia="pt-BR"/>
              </w:rPr>
            </w:pPr>
          </w:p>
        </w:tc>
        <w:tc>
          <w:tcPr>
            <w:tcW w:w="0" w:type="auto"/>
            <w:tcBorders>
              <w:top w:val="nil"/>
              <w:left w:val="nil"/>
              <w:bottom w:val="nil"/>
              <w:right w:val="nil"/>
            </w:tcBorders>
            <w:shd w:val="clear" w:color="auto" w:fill="auto"/>
            <w:noWrap/>
            <w:vAlign w:val="bottom"/>
            <w:hideMark/>
          </w:tcPr>
          <w:p w14:paraId="17FC5BA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754F14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0BA1CC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EEF815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540FE0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95D56B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CD36E1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6340FA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649273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F72A05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B7DA29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DD2454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6B996C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7DA94EDA" w14:textId="77777777" w:rsidTr="00551C35">
        <w:trPr>
          <w:trHeight w:val="23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27834A8"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PMP</w:t>
            </w:r>
          </w:p>
        </w:tc>
        <w:tc>
          <w:tcPr>
            <w:tcW w:w="0" w:type="auto"/>
            <w:tcBorders>
              <w:top w:val="nil"/>
              <w:left w:val="nil"/>
              <w:bottom w:val="single" w:sz="8" w:space="0" w:color="auto"/>
              <w:right w:val="single" w:sz="8" w:space="0" w:color="auto"/>
            </w:tcBorders>
            <w:shd w:val="clear" w:color="auto" w:fill="auto"/>
            <w:noWrap/>
            <w:hideMark/>
          </w:tcPr>
          <w:p w14:paraId="4888EF84" w14:textId="77777777" w:rsidR="00551C35" w:rsidRPr="00551C35" w:rsidRDefault="00551C35" w:rsidP="00551C35">
            <w:pPr>
              <w:spacing w:after="0" w:line="240" w:lineRule="auto"/>
              <w:rPr>
                <w:rFonts w:ascii="Arial" w:eastAsia="Times New Roman" w:hAnsi="Arial" w:cs="Arial"/>
                <w:sz w:val="16"/>
                <w:szCs w:val="16"/>
                <w:lang w:eastAsia="pt-BR"/>
              </w:rPr>
            </w:pPr>
            <w:r w:rsidRPr="00551C35">
              <w:rPr>
                <w:rFonts w:ascii="Arial" w:eastAsia="Times New Roman" w:hAnsi="Arial" w:cs="Arial"/>
                <w:sz w:val="16"/>
                <w:szCs w:val="16"/>
                <w:lang w:eastAsia="pt-BR"/>
              </w:rPr>
              <w:t>01-090-070-6</w:t>
            </w:r>
          </w:p>
        </w:tc>
        <w:tc>
          <w:tcPr>
            <w:tcW w:w="0" w:type="auto"/>
            <w:tcBorders>
              <w:top w:val="nil"/>
              <w:left w:val="nil"/>
              <w:bottom w:val="single" w:sz="8" w:space="0" w:color="auto"/>
              <w:right w:val="single" w:sz="8" w:space="0" w:color="auto"/>
            </w:tcBorders>
            <w:shd w:val="clear" w:color="auto" w:fill="auto"/>
            <w:hideMark/>
          </w:tcPr>
          <w:p w14:paraId="485976AA" w14:textId="77777777" w:rsidR="00551C35" w:rsidRPr="00551C35" w:rsidRDefault="00551C35" w:rsidP="00551C35">
            <w:pPr>
              <w:spacing w:after="0" w:line="240" w:lineRule="auto"/>
              <w:rPr>
                <w:rFonts w:ascii="Arial" w:eastAsia="Times New Roman" w:hAnsi="Arial" w:cs="Arial"/>
                <w:sz w:val="16"/>
                <w:szCs w:val="16"/>
                <w:lang w:eastAsia="pt-BR"/>
              </w:rPr>
            </w:pPr>
            <w:r w:rsidRPr="00551C35">
              <w:rPr>
                <w:rFonts w:ascii="Arial" w:eastAsia="Times New Roman" w:hAnsi="Arial" w:cs="Arial"/>
                <w:sz w:val="16"/>
                <w:szCs w:val="16"/>
                <w:lang w:eastAsia="pt-BR"/>
              </w:rPr>
              <w:t>Administração Local da Obra</w:t>
            </w:r>
          </w:p>
        </w:tc>
        <w:tc>
          <w:tcPr>
            <w:tcW w:w="0" w:type="auto"/>
            <w:tcBorders>
              <w:top w:val="nil"/>
              <w:left w:val="nil"/>
              <w:bottom w:val="single" w:sz="8" w:space="0" w:color="auto"/>
              <w:right w:val="single" w:sz="8" w:space="0" w:color="auto"/>
            </w:tcBorders>
            <w:shd w:val="clear" w:color="auto" w:fill="auto"/>
            <w:noWrap/>
            <w:vAlign w:val="center"/>
            <w:hideMark/>
          </w:tcPr>
          <w:p w14:paraId="2B2A3E30"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12</w:t>
            </w:r>
          </w:p>
        </w:tc>
        <w:tc>
          <w:tcPr>
            <w:tcW w:w="0" w:type="auto"/>
            <w:tcBorders>
              <w:top w:val="nil"/>
              <w:left w:val="nil"/>
              <w:bottom w:val="single" w:sz="8" w:space="0" w:color="auto"/>
              <w:right w:val="single" w:sz="8" w:space="0" w:color="auto"/>
            </w:tcBorders>
            <w:shd w:val="clear" w:color="auto" w:fill="auto"/>
            <w:noWrap/>
            <w:hideMark/>
          </w:tcPr>
          <w:p w14:paraId="0EA07688"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unid.</w:t>
            </w:r>
          </w:p>
        </w:tc>
        <w:tc>
          <w:tcPr>
            <w:tcW w:w="0" w:type="auto"/>
            <w:tcBorders>
              <w:top w:val="nil"/>
              <w:left w:val="nil"/>
              <w:bottom w:val="single" w:sz="8" w:space="0" w:color="auto"/>
              <w:right w:val="single" w:sz="8" w:space="0" w:color="auto"/>
            </w:tcBorders>
            <w:shd w:val="clear" w:color="auto" w:fill="auto"/>
            <w:vAlign w:val="center"/>
            <w:hideMark/>
          </w:tcPr>
          <w:p w14:paraId="3CEFF0A2"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52.520,24</w:t>
            </w:r>
          </w:p>
        </w:tc>
        <w:tc>
          <w:tcPr>
            <w:tcW w:w="0" w:type="auto"/>
            <w:tcBorders>
              <w:top w:val="nil"/>
              <w:left w:val="nil"/>
              <w:bottom w:val="single" w:sz="8" w:space="0" w:color="auto"/>
              <w:right w:val="single" w:sz="8" w:space="0" w:color="auto"/>
            </w:tcBorders>
            <w:shd w:val="clear" w:color="auto" w:fill="auto"/>
            <w:vAlign w:val="center"/>
            <w:hideMark/>
          </w:tcPr>
          <w:p w14:paraId="5BEF5DA7"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630.242,88</w:t>
            </w:r>
          </w:p>
        </w:tc>
        <w:tc>
          <w:tcPr>
            <w:tcW w:w="0" w:type="auto"/>
            <w:tcBorders>
              <w:top w:val="nil"/>
              <w:left w:val="nil"/>
              <w:bottom w:val="nil"/>
              <w:right w:val="nil"/>
            </w:tcBorders>
            <w:shd w:val="clear" w:color="auto" w:fill="auto"/>
            <w:noWrap/>
            <w:vAlign w:val="bottom"/>
            <w:hideMark/>
          </w:tcPr>
          <w:p w14:paraId="08E8B19A"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61F223E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1594A2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97DF10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F94DBA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CBC945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993269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D3B708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C58BB7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31BB41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8D7DE1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C702A7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619F8B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D67440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2674FBB5" w14:textId="77777777" w:rsidTr="00551C35">
        <w:trPr>
          <w:trHeight w:val="222"/>
        </w:trPr>
        <w:tc>
          <w:tcPr>
            <w:tcW w:w="0" w:type="auto"/>
            <w:tcBorders>
              <w:top w:val="nil"/>
              <w:left w:val="nil"/>
              <w:bottom w:val="nil"/>
              <w:right w:val="nil"/>
            </w:tcBorders>
            <w:shd w:val="clear" w:color="auto" w:fill="auto"/>
            <w:noWrap/>
            <w:vAlign w:val="center"/>
            <w:hideMark/>
          </w:tcPr>
          <w:p w14:paraId="6342F5B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hideMark/>
          </w:tcPr>
          <w:p w14:paraId="1AD90BFB"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hideMark/>
          </w:tcPr>
          <w:p w14:paraId="13AD4CE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7A6B7CD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08A18F9D"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BDI = 24,50%</w:t>
            </w:r>
          </w:p>
        </w:tc>
        <w:tc>
          <w:tcPr>
            <w:tcW w:w="0" w:type="auto"/>
            <w:tcBorders>
              <w:top w:val="nil"/>
              <w:left w:val="nil"/>
              <w:bottom w:val="single" w:sz="4" w:space="0" w:color="auto"/>
              <w:right w:val="single" w:sz="8" w:space="0" w:color="auto"/>
            </w:tcBorders>
            <w:shd w:val="clear" w:color="auto" w:fill="auto"/>
            <w:vAlign w:val="center"/>
            <w:hideMark/>
          </w:tcPr>
          <w:p w14:paraId="390F3A66"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65.387,69</w:t>
            </w:r>
          </w:p>
        </w:tc>
        <w:tc>
          <w:tcPr>
            <w:tcW w:w="0" w:type="auto"/>
            <w:tcBorders>
              <w:top w:val="nil"/>
              <w:left w:val="nil"/>
              <w:bottom w:val="single" w:sz="4" w:space="0" w:color="auto"/>
              <w:right w:val="single" w:sz="8" w:space="0" w:color="auto"/>
            </w:tcBorders>
            <w:shd w:val="clear" w:color="auto" w:fill="auto"/>
            <w:vAlign w:val="center"/>
            <w:hideMark/>
          </w:tcPr>
          <w:p w14:paraId="18403605"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 </w:t>
            </w:r>
          </w:p>
        </w:tc>
        <w:tc>
          <w:tcPr>
            <w:tcW w:w="0" w:type="auto"/>
            <w:tcBorders>
              <w:top w:val="nil"/>
              <w:left w:val="nil"/>
              <w:bottom w:val="nil"/>
              <w:right w:val="nil"/>
            </w:tcBorders>
            <w:shd w:val="clear" w:color="auto" w:fill="auto"/>
            <w:noWrap/>
            <w:vAlign w:val="bottom"/>
            <w:hideMark/>
          </w:tcPr>
          <w:p w14:paraId="726524EC"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2D465A0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EF8DF1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C943F3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E4904C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24844A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97F24D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DB457D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A99CA5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8F518B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DC30B6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E98B10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2CD22A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2B64B5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363EE9CE" w14:textId="77777777" w:rsidTr="00551C35">
        <w:trPr>
          <w:trHeight w:val="237"/>
        </w:trPr>
        <w:tc>
          <w:tcPr>
            <w:tcW w:w="0" w:type="auto"/>
            <w:tcBorders>
              <w:top w:val="nil"/>
              <w:left w:val="nil"/>
              <w:bottom w:val="nil"/>
              <w:right w:val="nil"/>
            </w:tcBorders>
            <w:shd w:val="clear" w:color="auto" w:fill="auto"/>
            <w:noWrap/>
            <w:vAlign w:val="center"/>
            <w:hideMark/>
          </w:tcPr>
          <w:p w14:paraId="70E923F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hideMark/>
          </w:tcPr>
          <w:p w14:paraId="3B14FFEA"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hideMark/>
          </w:tcPr>
          <w:p w14:paraId="2FAA775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39B2364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04DA0A0F" w14:textId="77777777" w:rsidR="00551C35" w:rsidRPr="00551C35" w:rsidRDefault="00551C35" w:rsidP="00551C35">
            <w:pPr>
              <w:spacing w:after="0" w:line="240" w:lineRule="auto"/>
              <w:jc w:val="right"/>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12 MESES</w:t>
            </w:r>
          </w:p>
        </w:tc>
        <w:tc>
          <w:tcPr>
            <w:tcW w:w="0" w:type="auto"/>
            <w:tcBorders>
              <w:top w:val="nil"/>
              <w:left w:val="nil"/>
              <w:bottom w:val="single" w:sz="8" w:space="0" w:color="auto"/>
              <w:right w:val="single" w:sz="8" w:space="0" w:color="auto"/>
            </w:tcBorders>
            <w:shd w:val="clear" w:color="auto" w:fill="auto"/>
            <w:vAlign w:val="center"/>
            <w:hideMark/>
          </w:tcPr>
          <w:p w14:paraId="3BC08C02"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784.652,28</w:t>
            </w:r>
          </w:p>
        </w:tc>
        <w:tc>
          <w:tcPr>
            <w:tcW w:w="0" w:type="auto"/>
            <w:tcBorders>
              <w:top w:val="nil"/>
              <w:left w:val="nil"/>
              <w:bottom w:val="nil"/>
              <w:right w:val="nil"/>
            </w:tcBorders>
            <w:shd w:val="clear" w:color="auto" w:fill="auto"/>
            <w:noWrap/>
            <w:vAlign w:val="bottom"/>
            <w:hideMark/>
          </w:tcPr>
          <w:p w14:paraId="64C80928"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69143AF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827041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BD5224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A90C68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F1DD10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5E8260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606939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55997B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91D613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726E40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A07B09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40EAA4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1A8728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650C446A" w14:textId="77777777" w:rsidTr="00551C35">
        <w:trPr>
          <w:trHeight w:val="237"/>
        </w:trPr>
        <w:tc>
          <w:tcPr>
            <w:tcW w:w="0" w:type="auto"/>
            <w:tcBorders>
              <w:top w:val="nil"/>
              <w:left w:val="nil"/>
              <w:bottom w:val="nil"/>
              <w:right w:val="nil"/>
            </w:tcBorders>
            <w:shd w:val="clear" w:color="auto" w:fill="auto"/>
            <w:noWrap/>
            <w:vAlign w:val="center"/>
            <w:hideMark/>
          </w:tcPr>
          <w:p w14:paraId="269C5D3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57B153C2"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8E72393"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664CA00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24A446BF"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D3AE02F"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66B739E6"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E3509B1"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3C19CA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5A4565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C920C9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9F90E4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2A4F64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D890F1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E156EA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743C3F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DC1511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C4FC27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AE3CEB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07DC52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4023DD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0152636C" w14:textId="77777777" w:rsidTr="00551C35">
        <w:trPr>
          <w:trHeight w:val="237"/>
        </w:trPr>
        <w:tc>
          <w:tcPr>
            <w:tcW w:w="0" w:type="auto"/>
            <w:tcBorders>
              <w:top w:val="nil"/>
              <w:left w:val="nil"/>
              <w:bottom w:val="nil"/>
              <w:right w:val="nil"/>
            </w:tcBorders>
            <w:shd w:val="clear" w:color="auto" w:fill="auto"/>
            <w:noWrap/>
            <w:vAlign w:val="center"/>
            <w:hideMark/>
          </w:tcPr>
          <w:p w14:paraId="22A97D6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5B3C0180"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ITEM MODIFICADO</w:t>
            </w:r>
          </w:p>
        </w:tc>
        <w:tc>
          <w:tcPr>
            <w:tcW w:w="0" w:type="auto"/>
            <w:tcBorders>
              <w:top w:val="nil"/>
              <w:left w:val="nil"/>
              <w:bottom w:val="nil"/>
              <w:right w:val="nil"/>
            </w:tcBorders>
            <w:shd w:val="clear" w:color="auto" w:fill="auto"/>
            <w:noWrap/>
            <w:vAlign w:val="bottom"/>
            <w:hideMark/>
          </w:tcPr>
          <w:p w14:paraId="281270BB"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667B789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9CF389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DB9CD2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BFEEBD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DA9645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67AB53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C8702E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288394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F0A4A5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8D199A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C009D8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EA7C8D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5D0AB9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292ED8A8" w14:textId="77777777" w:rsidTr="00551C35">
        <w:trPr>
          <w:trHeight w:val="237"/>
        </w:trPr>
        <w:tc>
          <w:tcPr>
            <w:tcW w:w="0" w:type="auto"/>
            <w:tcBorders>
              <w:top w:val="nil"/>
              <w:left w:val="nil"/>
              <w:bottom w:val="nil"/>
              <w:right w:val="nil"/>
            </w:tcBorders>
            <w:shd w:val="clear" w:color="auto" w:fill="auto"/>
            <w:noWrap/>
            <w:vAlign w:val="center"/>
            <w:hideMark/>
          </w:tcPr>
          <w:p w14:paraId="50BCCAE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hideMark/>
          </w:tcPr>
          <w:p w14:paraId="75BFC665"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592AFFE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61A7703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6F88FC7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754B5A0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66CA43F7"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89E5130"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C9DA54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6DB9FB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28BFFF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FE836C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A8AF830"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0603F9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774BBA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44FE52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8173A8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E2CFE5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F2663B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ECD277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F70105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40F31E97" w14:textId="77777777" w:rsidTr="00551C35">
        <w:trPr>
          <w:trHeight w:val="237"/>
        </w:trPr>
        <w:tc>
          <w:tcPr>
            <w:tcW w:w="0" w:type="auto"/>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3A67B9" w14:textId="77777777" w:rsidR="00551C35" w:rsidRPr="00551C35" w:rsidRDefault="00551C35" w:rsidP="00551C35">
            <w:pPr>
              <w:spacing w:after="0" w:line="240" w:lineRule="auto"/>
              <w:jc w:val="center"/>
              <w:rPr>
                <w:rFonts w:ascii="Arial" w:eastAsia="Times New Roman" w:hAnsi="Arial" w:cs="Arial"/>
                <w:color w:val="000000"/>
                <w:sz w:val="16"/>
                <w:szCs w:val="16"/>
                <w:lang w:eastAsia="pt-BR"/>
              </w:rPr>
            </w:pPr>
            <w:r w:rsidRPr="00551C35">
              <w:rPr>
                <w:rFonts w:ascii="Arial" w:eastAsia="Times New Roman" w:hAnsi="Arial" w:cs="Arial"/>
                <w:color w:val="000000"/>
                <w:sz w:val="16"/>
                <w:szCs w:val="16"/>
                <w:lang w:eastAsia="pt-BR"/>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A9CAA6"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QUANT.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CFFCC1"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UNID.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201F4D" w14:textId="77777777" w:rsidR="00551C35" w:rsidRPr="00551C35" w:rsidRDefault="00551C35" w:rsidP="00551C35">
            <w:pPr>
              <w:spacing w:after="0" w:line="240" w:lineRule="auto"/>
              <w:jc w:val="center"/>
              <w:rPr>
                <w:rFonts w:ascii="Arial" w:eastAsia="Times New Roman" w:hAnsi="Arial" w:cs="Arial"/>
                <w:b/>
                <w:bCs/>
                <w:color w:val="000000"/>
                <w:sz w:val="16"/>
                <w:szCs w:val="16"/>
                <w:lang w:eastAsia="pt-BR"/>
              </w:rPr>
            </w:pPr>
            <w:r w:rsidRPr="00551C35">
              <w:rPr>
                <w:rFonts w:ascii="Arial" w:eastAsia="Times New Roman" w:hAnsi="Arial" w:cs="Arial"/>
                <w:b/>
                <w:bCs/>
                <w:color w:val="000000"/>
                <w:sz w:val="16"/>
                <w:szCs w:val="16"/>
                <w:lang w:eastAsia="pt-BR"/>
              </w:rPr>
              <w:t>Custo Unitário 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5DA6BD" w14:textId="77777777" w:rsidR="00551C35" w:rsidRPr="00551C35" w:rsidRDefault="00551C35" w:rsidP="00551C35">
            <w:pPr>
              <w:spacing w:after="0" w:line="240" w:lineRule="auto"/>
              <w:jc w:val="center"/>
              <w:rPr>
                <w:rFonts w:ascii="Arial" w:eastAsia="Times New Roman" w:hAnsi="Arial" w:cs="Arial"/>
                <w:b/>
                <w:bCs/>
                <w:color w:val="000000"/>
                <w:sz w:val="16"/>
                <w:szCs w:val="16"/>
                <w:lang w:eastAsia="pt-BR"/>
              </w:rPr>
            </w:pPr>
            <w:r w:rsidRPr="00551C35">
              <w:rPr>
                <w:rFonts w:ascii="Arial" w:eastAsia="Times New Roman" w:hAnsi="Arial" w:cs="Arial"/>
                <w:b/>
                <w:bCs/>
                <w:color w:val="000000"/>
                <w:sz w:val="16"/>
                <w:szCs w:val="16"/>
                <w:lang w:eastAsia="pt-BR"/>
              </w:rPr>
              <w:t>Custo Parcial R$</w:t>
            </w:r>
          </w:p>
        </w:tc>
        <w:tc>
          <w:tcPr>
            <w:tcW w:w="0" w:type="auto"/>
            <w:tcBorders>
              <w:top w:val="nil"/>
              <w:left w:val="nil"/>
              <w:bottom w:val="nil"/>
              <w:right w:val="nil"/>
            </w:tcBorders>
            <w:shd w:val="clear" w:color="auto" w:fill="auto"/>
            <w:noWrap/>
            <w:vAlign w:val="bottom"/>
            <w:hideMark/>
          </w:tcPr>
          <w:p w14:paraId="20D26B5E" w14:textId="77777777" w:rsidR="00551C35" w:rsidRPr="00551C35" w:rsidRDefault="00551C35" w:rsidP="00551C35">
            <w:pPr>
              <w:spacing w:after="0" w:line="240" w:lineRule="auto"/>
              <w:jc w:val="center"/>
              <w:rPr>
                <w:rFonts w:ascii="Arial" w:eastAsia="Times New Roman" w:hAnsi="Arial" w:cs="Arial"/>
                <w:b/>
                <w:bCs/>
                <w:color w:val="000000"/>
                <w:sz w:val="16"/>
                <w:szCs w:val="16"/>
                <w:lang w:eastAsia="pt-BR"/>
              </w:rPr>
            </w:pPr>
          </w:p>
        </w:tc>
        <w:tc>
          <w:tcPr>
            <w:tcW w:w="0" w:type="auto"/>
            <w:tcBorders>
              <w:top w:val="nil"/>
              <w:left w:val="nil"/>
              <w:bottom w:val="nil"/>
              <w:right w:val="nil"/>
            </w:tcBorders>
            <w:shd w:val="clear" w:color="auto" w:fill="auto"/>
            <w:noWrap/>
            <w:vAlign w:val="bottom"/>
            <w:hideMark/>
          </w:tcPr>
          <w:p w14:paraId="436DAC4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177AD7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746572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089E0A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47C926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A095F8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4A3478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6FB5BA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3F7370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E071E4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222352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55D260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187C73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32B817E8" w14:textId="77777777" w:rsidTr="00551C35">
        <w:trPr>
          <w:trHeight w:val="23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9E95FDF"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PMP</w:t>
            </w:r>
          </w:p>
        </w:tc>
        <w:tc>
          <w:tcPr>
            <w:tcW w:w="0" w:type="auto"/>
            <w:tcBorders>
              <w:top w:val="nil"/>
              <w:left w:val="nil"/>
              <w:bottom w:val="single" w:sz="8" w:space="0" w:color="auto"/>
              <w:right w:val="single" w:sz="8" w:space="0" w:color="auto"/>
            </w:tcBorders>
            <w:shd w:val="clear" w:color="auto" w:fill="auto"/>
            <w:noWrap/>
            <w:hideMark/>
          </w:tcPr>
          <w:p w14:paraId="190FBFC3" w14:textId="77777777" w:rsidR="00551C35" w:rsidRPr="00551C35" w:rsidRDefault="00551C35" w:rsidP="00551C35">
            <w:pPr>
              <w:spacing w:after="0" w:line="240" w:lineRule="auto"/>
              <w:rPr>
                <w:rFonts w:ascii="Arial" w:eastAsia="Times New Roman" w:hAnsi="Arial" w:cs="Arial"/>
                <w:sz w:val="16"/>
                <w:szCs w:val="16"/>
                <w:lang w:eastAsia="pt-BR"/>
              </w:rPr>
            </w:pPr>
            <w:r w:rsidRPr="00551C35">
              <w:rPr>
                <w:rFonts w:ascii="Arial" w:eastAsia="Times New Roman" w:hAnsi="Arial" w:cs="Arial"/>
                <w:sz w:val="16"/>
                <w:szCs w:val="16"/>
                <w:lang w:eastAsia="pt-BR"/>
              </w:rPr>
              <w:t>01-090-070-6</w:t>
            </w:r>
          </w:p>
        </w:tc>
        <w:tc>
          <w:tcPr>
            <w:tcW w:w="0" w:type="auto"/>
            <w:tcBorders>
              <w:top w:val="nil"/>
              <w:left w:val="nil"/>
              <w:bottom w:val="single" w:sz="8" w:space="0" w:color="auto"/>
              <w:right w:val="single" w:sz="8" w:space="0" w:color="auto"/>
            </w:tcBorders>
            <w:shd w:val="clear" w:color="auto" w:fill="auto"/>
            <w:hideMark/>
          </w:tcPr>
          <w:p w14:paraId="0C3C55D6" w14:textId="77777777" w:rsidR="00551C35" w:rsidRPr="00551C35" w:rsidRDefault="00551C35" w:rsidP="00551C35">
            <w:pPr>
              <w:spacing w:after="0" w:line="240" w:lineRule="auto"/>
              <w:rPr>
                <w:rFonts w:ascii="Arial" w:eastAsia="Times New Roman" w:hAnsi="Arial" w:cs="Arial"/>
                <w:sz w:val="16"/>
                <w:szCs w:val="16"/>
                <w:lang w:eastAsia="pt-BR"/>
              </w:rPr>
            </w:pPr>
            <w:r w:rsidRPr="00551C35">
              <w:rPr>
                <w:rFonts w:ascii="Arial" w:eastAsia="Times New Roman" w:hAnsi="Arial" w:cs="Arial"/>
                <w:sz w:val="16"/>
                <w:szCs w:val="16"/>
                <w:lang w:eastAsia="pt-BR"/>
              </w:rPr>
              <w:t>Administração Local da Obra</w:t>
            </w:r>
          </w:p>
        </w:tc>
        <w:tc>
          <w:tcPr>
            <w:tcW w:w="0" w:type="auto"/>
            <w:tcBorders>
              <w:top w:val="nil"/>
              <w:left w:val="nil"/>
              <w:bottom w:val="single" w:sz="8" w:space="0" w:color="auto"/>
              <w:right w:val="single" w:sz="8" w:space="0" w:color="auto"/>
            </w:tcBorders>
            <w:shd w:val="clear" w:color="auto" w:fill="auto"/>
            <w:noWrap/>
            <w:vAlign w:val="center"/>
            <w:hideMark/>
          </w:tcPr>
          <w:p w14:paraId="01B5BCDA"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100</w:t>
            </w:r>
          </w:p>
        </w:tc>
        <w:tc>
          <w:tcPr>
            <w:tcW w:w="0" w:type="auto"/>
            <w:tcBorders>
              <w:top w:val="nil"/>
              <w:left w:val="nil"/>
              <w:bottom w:val="single" w:sz="8" w:space="0" w:color="auto"/>
              <w:right w:val="single" w:sz="8" w:space="0" w:color="auto"/>
            </w:tcBorders>
            <w:shd w:val="clear" w:color="auto" w:fill="auto"/>
            <w:noWrap/>
            <w:hideMark/>
          </w:tcPr>
          <w:p w14:paraId="341A9CF6"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unid.</w:t>
            </w:r>
          </w:p>
        </w:tc>
        <w:tc>
          <w:tcPr>
            <w:tcW w:w="0" w:type="auto"/>
            <w:tcBorders>
              <w:top w:val="nil"/>
              <w:left w:val="nil"/>
              <w:bottom w:val="single" w:sz="8" w:space="0" w:color="auto"/>
              <w:right w:val="single" w:sz="8" w:space="0" w:color="auto"/>
            </w:tcBorders>
            <w:shd w:val="clear" w:color="auto" w:fill="auto"/>
            <w:vAlign w:val="center"/>
            <w:hideMark/>
          </w:tcPr>
          <w:p w14:paraId="7C0451D2"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6.302,43</w:t>
            </w:r>
          </w:p>
        </w:tc>
        <w:tc>
          <w:tcPr>
            <w:tcW w:w="0" w:type="auto"/>
            <w:tcBorders>
              <w:top w:val="nil"/>
              <w:left w:val="nil"/>
              <w:bottom w:val="single" w:sz="8" w:space="0" w:color="auto"/>
              <w:right w:val="single" w:sz="8" w:space="0" w:color="auto"/>
            </w:tcBorders>
            <w:shd w:val="clear" w:color="auto" w:fill="auto"/>
            <w:vAlign w:val="center"/>
            <w:hideMark/>
          </w:tcPr>
          <w:p w14:paraId="4CC3EEEF"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630.242,88</w:t>
            </w:r>
          </w:p>
        </w:tc>
        <w:tc>
          <w:tcPr>
            <w:tcW w:w="0" w:type="auto"/>
            <w:tcBorders>
              <w:top w:val="nil"/>
              <w:left w:val="nil"/>
              <w:bottom w:val="nil"/>
              <w:right w:val="nil"/>
            </w:tcBorders>
            <w:shd w:val="clear" w:color="auto" w:fill="auto"/>
            <w:noWrap/>
            <w:vAlign w:val="bottom"/>
            <w:hideMark/>
          </w:tcPr>
          <w:p w14:paraId="13B2143A"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31BEC0E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DFB0A7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2CEAD4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DD9B86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48367A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02C932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915904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B4C3F6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729C6F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8C3869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00F2EE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1879B9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A693F8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70B30685" w14:textId="77777777" w:rsidTr="00551C35">
        <w:trPr>
          <w:trHeight w:val="222"/>
        </w:trPr>
        <w:tc>
          <w:tcPr>
            <w:tcW w:w="0" w:type="auto"/>
            <w:tcBorders>
              <w:top w:val="nil"/>
              <w:left w:val="nil"/>
              <w:bottom w:val="nil"/>
              <w:right w:val="nil"/>
            </w:tcBorders>
            <w:shd w:val="clear" w:color="auto" w:fill="auto"/>
            <w:noWrap/>
            <w:vAlign w:val="center"/>
            <w:hideMark/>
          </w:tcPr>
          <w:p w14:paraId="5B79F9B8"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hideMark/>
          </w:tcPr>
          <w:p w14:paraId="716DEAE5"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hideMark/>
          </w:tcPr>
          <w:p w14:paraId="20D9585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4D1ED2E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28DC4D5" w14:textId="77777777" w:rsidR="00551C35" w:rsidRPr="00551C35" w:rsidRDefault="00551C35" w:rsidP="00551C35">
            <w:pPr>
              <w:spacing w:after="0" w:line="240" w:lineRule="auto"/>
              <w:jc w:val="center"/>
              <w:rPr>
                <w:rFonts w:ascii="Arial" w:eastAsia="Times New Roman" w:hAnsi="Arial" w:cs="Arial"/>
                <w:b/>
                <w:bCs/>
                <w:sz w:val="16"/>
                <w:szCs w:val="16"/>
                <w:lang w:eastAsia="pt-BR"/>
              </w:rPr>
            </w:pPr>
            <w:r w:rsidRPr="00551C35">
              <w:rPr>
                <w:rFonts w:ascii="Arial" w:eastAsia="Times New Roman" w:hAnsi="Arial" w:cs="Arial"/>
                <w:b/>
                <w:bCs/>
                <w:sz w:val="16"/>
                <w:szCs w:val="16"/>
                <w:lang w:eastAsia="pt-BR"/>
              </w:rPr>
              <w:t>BDI = 24,50%</w:t>
            </w:r>
          </w:p>
        </w:tc>
        <w:tc>
          <w:tcPr>
            <w:tcW w:w="0" w:type="auto"/>
            <w:tcBorders>
              <w:top w:val="nil"/>
              <w:left w:val="nil"/>
              <w:bottom w:val="single" w:sz="4" w:space="0" w:color="auto"/>
              <w:right w:val="single" w:sz="8" w:space="0" w:color="auto"/>
            </w:tcBorders>
            <w:shd w:val="clear" w:color="auto" w:fill="auto"/>
            <w:vAlign w:val="center"/>
            <w:hideMark/>
          </w:tcPr>
          <w:p w14:paraId="03C4DBDA" w14:textId="77777777" w:rsidR="00551C35" w:rsidRPr="00551C35" w:rsidRDefault="00551C35" w:rsidP="00551C35">
            <w:pPr>
              <w:spacing w:after="0" w:line="240" w:lineRule="auto"/>
              <w:jc w:val="center"/>
              <w:rPr>
                <w:rFonts w:ascii="Arial" w:eastAsia="Times New Roman" w:hAnsi="Arial" w:cs="Arial"/>
                <w:sz w:val="16"/>
                <w:szCs w:val="16"/>
                <w:lang w:eastAsia="pt-BR"/>
              </w:rPr>
            </w:pPr>
            <w:r w:rsidRPr="00551C35">
              <w:rPr>
                <w:rFonts w:ascii="Arial" w:eastAsia="Times New Roman" w:hAnsi="Arial" w:cs="Arial"/>
                <w:sz w:val="16"/>
                <w:szCs w:val="16"/>
                <w:lang w:eastAsia="pt-BR"/>
              </w:rPr>
              <w:t>7.846,52</w:t>
            </w:r>
          </w:p>
        </w:tc>
        <w:tc>
          <w:tcPr>
            <w:tcW w:w="0" w:type="auto"/>
            <w:tcBorders>
              <w:top w:val="nil"/>
              <w:left w:val="nil"/>
              <w:bottom w:val="single" w:sz="4" w:space="0" w:color="auto"/>
              <w:right w:val="single" w:sz="8" w:space="0" w:color="auto"/>
            </w:tcBorders>
            <w:shd w:val="clear" w:color="auto" w:fill="auto"/>
            <w:vAlign w:val="center"/>
            <w:hideMark/>
          </w:tcPr>
          <w:p w14:paraId="3232DDB6"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 </w:t>
            </w:r>
          </w:p>
        </w:tc>
        <w:tc>
          <w:tcPr>
            <w:tcW w:w="0" w:type="auto"/>
            <w:tcBorders>
              <w:top w:val="nil"/>
              <w:left w:val="nil"/>
              <w:bottom w:val="nil"/>
              <w:right w:val="nil"/>
            </w:tcBorders>
            <w:shd w:val="clear" w:color="auto" w:fill="auto"/>
            <w:noWrap/>
            <w:vAlign w:val="bottom"/>
            <w:hideMark/>
          </w:tcPr>
          <w:p w14:paraId="64706CB3"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48070A3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11F84C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1355A8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6DEA22B"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6001D2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D6ADFE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81C2AA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B9D606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F87FC13"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EDE48A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0953FA1"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48B6AF9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37C401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20DEE077" w14:textId="77777777" w:rsidTr="00551C35">
        <w:trPr>
          <w:trHeight w:val="237"/>
        </w:trPr>
        <w:tc>
          <w:tcPr>
            <w:tcW w:w="0" w:type="auto"/>
            <w:tcBorders>
              <w:top w:val="nil"/>
              <w:left w:val="nil"/>
              <w:bottom w:val="nil"/>
              <w:right w:val="nil"/>
            </w:tcBorders>
            <w:shd w:val="clear" w:color="auto" w:fill="auto"/>
            <w:noWrap/>
            <w:vAlign w:val="center"/>
            <w:hideMark/>
          </w:tcPr>
          <w:p w14:paraId="1F0E128E"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hideMark/>
          </w:tcPr>
          <w:p w14:paraId="79EA9D56"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hideMark/>
          </w:tcPr>
          <w:p w14:paraId="38A2DE9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5B41DB2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0881965B" w14:textId="77777777" w:rsidR="00551C35" w:rsidRPr="00551C35" w:rsidRDefault="00551C35" w:rsidP="00551C35">
            <w:pPr>
              <w:spacing w:after="0" w:line="240" w:lineRule="auto"/>
              <w:jc w:val="right"/>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100 UNIDADES</w:t>
            </w:r>
          </w:p>
        </w:tc>
        <w:tc>
          <w:tcPr>
            <w:tcW w:w="0" w:type="auto"/>
            <w:tcBorders>
              <w:top w:val="nil"/>
              <w:left w:val="nil"/>
              <w:bottom w:val="single" w:sz="8" w:space="0" w:color="auto"/>
              <w:right w:val="single" w:sz="8" w:space="0" w:color="auto"/>
            </w:tcBorders>
            <w:shd w:val="clear" w:color="auto" w:fill="auto"/>
            <w:vAlign w:val="center"/>
            <w:hideMark/>
          </w:tcPr>
          <w:p w14:paraId="6E71C818"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r w:rsidRPr="00551C35">
              <w:rPr>
                <w:rFonts w:ascii="Arial" w:eastAsia="Times New Roman" w:hAnsi="Arial" w:cs="Arial"/>
                <w:b/>
                <w:bCs/>
                <w:color w:val="FF0000"/>
                <w:sz w:val="16"/>
                <w:szCs w:val="16"/>
                <w:lang w:eastAsia="pt-BR"/>
              </w:rPr>
              <w:t>784.652,00</w:t>
            </w:r>
          </w:p>
        </w:tc>
        <w:tc>
          <w:tcPr>
            <w:tcW w:w="0" w:type="auto"/>
            <w:tcBorders>
              <w:top w:val="nil"/>
              <w:left w:val="nil"/>
              <w:bottom w:val="nil"/>
              <w:right w:val="nil"/>
            </w:tcBorders>
            <w:shd w:val="clear" w:color="auto" w:fill="auto"/>
            <w:noWrap/>
            <w:vAlign w:val="bottom"/>
            <w:hideMark/>
          </w:tcPr>
          <w:p w14:paraId="1E1632E9" w14:textId="77777777" w:rsidR="00551C35" w:rsidRPr="00551C35" w:rsidRDefault="00551C35" w:rsidP="00551C35">
            <w:pPr>
              <w:spacing w:after="0" w:line="240" w:lineRule="auto"/>
              <w:jc w:val="center"/>
              <w:rPr>
                <w:rFonts w:ascii="Arial" w:eastAsia="Times New Roman" w:hAnsi="Arial" w:cs="Arial"/>
                <w:b/>
                <w:bCs/>
                <w:color w:val="FF0000"/>
                <w:sz w:val="16"/>
                <w:szCs w:val="16"/>
                <w:lang w:eastAsia="pt-BR"/>
              </w:rPr>
            </w:pPr>
          </w:p>
        </w:tc>
        <w:tc>
          <w:tcPr>
            <w:tcW w:w="0" w:type="auto"/>
            <w:tcBorders>
              <w:top w:val="nil"/>
              <w:left w:val="nil"/>
              <w:bottom w:val="nil"/>
              <w:right w:val="nil"/>
            </w:tcBorders>
            <w:shd w:val="clear" w:color="auto" w:fill="auto"/>
            <w:noWrap/>
            <w:vAlign w:val="bottom"/>
            <w:hideMark/>
          </w:tcPr>
          <w:p w14:paraId="54ABE79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1E0689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91A4A4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0A0F15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39587FF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332C26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D590F9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CB8A8DD"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3331447"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99DDA8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7D48A9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5FD582C5"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D06971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r w:rsidR="00551C35" w:rsidRPr="00551C35" w14:paraId="3767B37D" w14:textId="77777777" w:rsidTr="00551C35">
        <w:trPr>
          <w:trHeight w:val="237"/>
        </w:trPr>
        <w:tc>
          <w:tcPr>
            <w:tcW w:w="0" w:type="auto"/>
            <w:tcBorders>
              <w:top w:val="nil"/>
              <w:left w:val="nil"/>
              <w:bottom w:val="nil"/>
              <w:right w:val="nil"/>
            </w:tcBorders>
            <w:shd w:val="clear" w:color="auto" w:fill="auto"/>
            <w:noWrap/>
            <w:vAlign w:val="center"/>
            <w:hideMark/>
          </w:tcPr>
          <w:p w14:paraId="2155F4E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79A1C458"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DF6502A"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7D6E402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09A13E9E"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09EBEA79"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3A8EEAD7"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17D40D81"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3D16C7B5"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2DF84D49"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29B9BDE4"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55B69B89"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7079DE94" w14:textId="77777777" w:rsidR="00551C35" w:rsidRDefault="00551C35" w:rsidP="00551C35">
            <w:pPr>
              <w:spacing w:after="0" w:line="240" w:lineRule="auto"/>
              <w:jc w:val="center"/>
              <w:rPr>
                <w:rFonts w:ascii="Times New Roman" w:eastAsia="Times New Roman" w:hAnsi="Times New Roman" w:cs="Times New Roman"/>
                <w:sz w:val="20"/>
                <w:szCs w:val="20"/>
                <w:lang w:eastAsia="pt-BR"/>
              </w:rPr>
            </w:pPr>
          </w:p>
          <w:p w14:paraId="5979AA17" w14:textId="1F147FDC"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2B7F0D99"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443966D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92C4D01" w14:textId="77777777" w:rsidR="00551C35" w:rsidRPr="00551C35" w:rsidRDefault="00551C35" w:rsidP="00551C35">
            <w:pPr>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39310F4"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1BFE4892"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532BA0C"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061809E6"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bottom"/>
            <w:hideMark/>
          </w:tcPr>
          <w:p w14:paraId="63405E1F" w14:textId="77777777" w:rsidR="00551C35" w:rsidRPr="00551C35" w:rsidRDefault="00551C35" w:rsidP="00551C35">
            <w:pPr>
              <w:spacing w:after="0" w:line="240" w:lineRule="auto"/>
              <w:rPr>
                <w:rFonts w:ascii="Times New Roman" w:eastAsia="Times New Roman" w:hAnsi="Times New Roman" w:cs="Times New Roman"/>
                <w:sz w:val="20"/>
                <w:szCs w:val="20"/>
                <w:lang w:eastAsia="pt-BR"/>
              </w:rPr>
            </w:pPr>
          </w:p>
        </w:tc>
      </w:tr>
    </w:tbl>
    <w:p w14:paraId="460D225E" w14:textId="3707521F" w:rsidR="00167B0A" w:rsidRPr="00530440" w:rsidRDefault="00167B0A" w:rsidP="00551C35">
      <w:pPr>
        <w:pStyle w:val="Default"/>
        <w:pageBreakBefore/>
        <w:rPr>
          <w:color w:val="auto"/>
          <w:sz w:val="16"/>
          <w:szCs w:val="16"/>
        </w:rPr>
      </w:pPr>
    </w:p>
    <w:p w14:paraId="00EC3C5B" w14:textId="6097EFE7" w:rsidR="00167B0A" w:rsidRDefault="00167B0A" w:rsidP="008E61F3">
      <w:pPr>
        <w:pStyle w:val="Default"/>
        <w:jc w:val="both"/>
        <w:rPr>
          <w:color w:val="auto"/>
          <w:sz w:val="16"/>
          <w:szCs w:val="16"/>
        </w:rPr>
      </w:pPr>
      <w:r w:rsidRPr="00530440">
        <w:rPr>
          <w:color w:val="auto"/>
          <w:sz w:val="16"/>
          <w:szCs w:val="16"/>
        </w:rPr>
        <w:t xml:space="preserve">11. Revise as taxas do BDI PADRÃO (24,50%) e do BDI DIFERENCIADO (14,45%) adotadas no orçamento, pois superam, significativamente, as taxas sugeridas em Nota do Boletim EMOP de, respectivamente, 20% e 13%, efetivamente devido às taxas de administração central, despesas financeiras e lucro, conforme demonstrado na tabela abaixo: </w:t>
      </w:r>
    </w:p>
    <w:p w14:paraId="3FDB57CB" w14:textId="77777777" w:rsidR="008E61F3" w:rsidRPr="00530440" w:rsidRDefault="008E61F3" w:rsidP="008E61F3">
      <w:pPr>
        <w:pStyle w:val="Default"/>
        <w:jc w:val="both"/>
        <w:rPr>
          <w:color w:val="auto"/>
          <w:sz w:val="16"/>
          <w:szCs w:val="16"/>
        </w:rPr>
      </w:pPr>
    </w:p>
    <w:tbl>
      <w:tblPr>
        <w:tblW w:w="0" w:type="auto"/>
        <w:tblInd w:w="-108" w:type="dxa"/>
        <w:tblLayout w:type="fixed"/>
        <w:tblLook w:val="0000" w:firstRow="0" w:lastRow="0" w:firstColumn="0" w:lastColumn="0" w:noHBand="0" w:noVBand="0"/>
      </w:tblPr>
      <w:tblGrid>
        <w:gridCol w:w="1804"/>
        <w:gridCol w:w="851"/>
        <w:gridCol w:w="1134"/>
        <w:gridCol w:w="1134"/>
        <w:gridCol w:w="850"/>
      </w:tblGrid>
      <w:tr w:rsidR="00167B0A" w:rsidRPr="00530440" w14:paraId="34818946" w14:textId="77777777" w:rsidTr="00B52BE9">
        <w:trPr>
          <w:trHeight w:val="250"/>
        </w:trPr>
        <w:tc>
          <w:tcPr>
            <w:tcW w:w="2655" w:type="dxa"/>
            <w:gridSpan w:val="2"/>
          </w:tcPr>
          <w:p w14:paraId="62C8675F" w14:textId="77777777" w:rsidR="00B52BE9" w:rsidRDefault="00167B0A" w:rsidP="00B52BE9">
            <w:pPr>
              <w:pStyle w:val="Default"/>
              <w:rPr>
                <w:sz w:val="16"/>
                <w:szCs w:val="16"/>
              </w:rPr>
            </w:pPr>
            <w:r w:rsidRPr="00530440">
              <w:rPr>
                <w:sz w:val="16"/>
                <w:szCs w:val="16"/>
              </w:rPr>
              <w:t>Insumo da composição</w:t>
            </w:r>
          </w:p>
          <w:p w14:paraId="01D41820" w14:textId="115AC872" w:rsidR="00167B0A" w:rsidRPr="00530440" w:rsidRDefault="00167B0A" w:rsidP="00B52BE9">
            <w:pPr>
              <w:pStyle w:val="Default"/>
              <w:rPr>
                <w:sz w:val="16"/>
                <w:szCs w:val="16"/>
              </w:rPr>
            </w:pPr>
            <w:r w:rsidRPr="00530440">
              <w:rPr>
                <w:sz w:val="16"/>
                <w:szCs w:val="16"/>
              </w:rPr>
              <w:t xml:space="preserve"> da taxa de BDI </w:t>
            </w:r>
          </w:p>
        </w:tc>
        <w:tc>
          <w:tcPr>
            <w:tcW w:w="1134" w:type="dxa"/>
          </w:tcPr>
          <w:p w14:paraId="40AE256B" w14:textId="77777777" w:rsidR="00167B0A" w:rsidRPr="00530440" w:rsidRDefault="00167B0A">
            <w:pPr>
              <w:pStyle w:val="Default"/>
              <w:rPr>
                <w:sz w:val="16"/>
                <w:szCs w:val="16"/>
              </w:rPr>
            </w:pPr>
            <w:r w:rsidRPr="00530440">
              <w:rPr>
                <w:sz w:val="16"/>
                <w:szCs w:val="16"/>
              </w:rPr>
              <w:t xml:space="preserve">EDITAL </w:t>
            </w:r>
          </w:p>
        </w:tc>
        <w:tc>
          <w:tcPr>
            <w:tcW w:w="1984" w:type="dxa"/>
            <w:gridSpan w:val="2"/>
          </w:tcPr>
          <w:p w14:paraId="73DE5C22" w14:textId="4FF94C77" w:rsidR="00167B0A" w:rsidRPr="00530440" w:rsidRDefault="00B52BE9">
            <w:pPr>
              <w:pStyle w:val="Default"/>
              <w:rPr>
                <w:sz w:val="16"/>
                <w:szCs w:val="16"/>
              </w:rPr>
            </w:pPr>
            <w:r>
              <w:rPr>
                <w:sz w:val="16"/>
                <w:szCs w:val="16"/>
              </w:rPr>
              <w:t xml:space="preserve">           </w:t>
            </w:r>
            <w:r w:rsidR="00167B0A" w:rsidRPr="00530440">
              <w:rPr>
                <w:sz w:val="16"/>
                <w:szCs w:val="16"/>
              </w:rPr>
              <w:t xml:space="preserve">EMOP </w:t>
            </w:r>
          </w:p>
        </w:tc>
      </w:tr>
      <w:tr w:rsidR="00167B0A" w:rsidRPr="00530440" w14:paraId="1B8EFA2F" w14:textId="77777777" w:rsidTr="00B52BE9">
        <w:trPr>
          <w:trHeight w:val="113"/>
        </w:trPr>
        <w:tc>
          <w:tcPr>
            <w:tcW w:w="2655" w:type="dxa"/>
            <w:gridSpan w:val="2"/>
            <w:tcBorders>
              <w:bottom w:val="single" w:sz="4" w:space="0" w:color="auto"/>
            </w:tcBorders>
          </w:tcPr>
          <w:p w14:paraId="687C2542" w14:textId="3ADF1134" w:rsidR="00167B0A" w:rsidRPr="00530440" w:rsidRDefault="008E61F3">
            <w:pPr>
              <w:pStyle w:val="Default"/>
              <w:rPr>
                <w:sz w:val="16"/>
                <w:szCs w:val="16"/>
              </w:rPr>
            </w:pPr>
            <w:r>
              <w:rPr>
                <w:sz w:val="16"/>
                <w:szCs w:val="16"/>
              </w:rPr>
              <w:t xml:space="preserve">                                           </w:t>
            </w:r>
            <w:r w:rsidRPr="00530440">
              <w:rPr>
                <w:sz w:val="16"/>
                <w:szCs w:val="16"/>
              </w:rPr>
              <w:t>P</w:t>
            </w:r>
            <w:r w:rsidR="00167B0A" w:rsidRPr="00530440">
              <w:rPr>
                <w:sz w:val="16"/>
                <w:szCs w:val="16"/>
              </w:rPr>
              <w:t xml:space="preserve">adrão </w:t>
            </w:r>
          </w:p>
        </w:tc>
        <w:tc>
          <w:tcPr>
            <w:tcW w:w="1134" w:type="dxa"/>
            <w:tcBorders>
              <w:bottom w:val="single" w:sz="4" w:space="0" w:color="auto"/>
            </w:tcBorders>
          </w:tcPr>
          <w:p w14:paraId="7DAE4537" w14:textId="5DBE43CA" w:rsidR="00167B0A" w:rsidRPr="00530440" w:rsidRDefault="00167B0A" w:rsidP="008E61F3">
            <w:pPr>
              <w:pStyle w:val="Default"/>
              <w:jc w:val="center"/>
              <w:rPr>
                <w:sz w:val="16"/>
                <w:szCs w:val="16"/>
              </w:rPr>
            </w:pPr>
            <w:proofErr w:type="spellStart"/>
            <w:r w:rsidRPr="00530440">
              <w:rPr>
                <w:sz w:val="16"/>
                <w:szCs w:val="16"/>
              </w:rPr>
              <w:t>diferenc</w:t>
            </w:r>
            <w:proofErr w:type="spellEnd"/>
            <w:r w:rsidRPr="00530440">
              <w:rPr>
                <w:sz w:val="16"/>
                <w:szCs w:val="16"/>
              </w:rPr>
              <w:t>.</w:t>
            </w:r>
          </w:p>
        </w:tc>
        <w:tc>
          <w:tcPr>
            <w:tcW w:w="1134" w:type="dxa"/>
            <w:tcBorders>
              <w:bottom w:val="single" w:sz="4" w:space="0" w:color="auto"/>
            </w:tcBorders>
          </w:tcPr>
          <w:p w14:paraId="21A252EE" w14:textId="17C003F6" w:rsidR="00167B0A" w:rsidRPr="00530440" w:rsidRDefault="00167B0A">
            <w:pPr>
              <w:pStyle w:val="Default"/>
              <w:rPr>
                <w:sz w:val="16"/>
                <w:szCs w:val="16"/>
              </w:rPr>
            </w:pPr>
            <w:r w:rsidRPr="00530440">
              <w:rPr>
                <w:sz w:val="16"/>
                <w:szCs w:val="16"/>
              </w:rPr>
              <w:t xml:space="preserve">padrão </w:t>
            </w:r>
            <w:r w:rsidR="008E61F3">
              <w:rPr>
                <w:sz w:val="16"/>
                <w:szCs w:val="16"/>
              </w:rPr>
              <w:t xml:space="preserve">      </w:t>
            </w:r>
          </w:p>
        </w:tc>
        <w:tc>
          <w:tcPr>
            <w:tcW w:w="850" w:type="dxa"/>
            <w:tcBorders>
              <w:bottom w:val="single" w:sz="4" w:space="0" w:color="auto"/>
            </w:tcBorders>
          </w:tcPr>
          <w:p w14:paraId="6B54495A" w14:textId="77777777" w:rsidR="00167B0A" w:rsidRPr="00530440" w:rsidRDefault="00167B0A">
            <w:pPr>
              <w:pStyle w:val="Default"/>
              <w:rPr>
                <w:sz w:val="16"/>
                <w:szCs w:val="16"/>
              </w:rPr>
            </w:pPr>
            <w:proofErr w:type="spellStart"/>
            <w:r w:rsidRPr="00530440">
              <w:rPr>
                <w:sz w:val="16"/>
                <w:szCs w:val="16"/>
              </w:rPr>
              <w:t>diferenc</w:t>
            </w:r>
            <w:proofErr w:type="spellEnd"/>
            <w:r w:rsidRPr="00530440">
              <w:rPr>
                <w:sz w:val="16"/>
                <w:szCs w:val="16"/>
              </w:rPr>
              <w:t xml:space="preserve">. </w:t>
            </w:r>
          </w:p>
        </w:tc>
      </w:tr>
      <w:tr w:rsidR="00167B0A" w:rsidRPr="00530440" w14:paraId="4D79C7CC" w14:textId="77777777" w:rsidTr="00B52BE9">
        <w:trPr>
          <w:trHeight w:val="112"/>
        </w:trPr>
        <w:tc>
          <w:tcPr>
            <w:tcW w:w="1804" w:type="dxa"/>
            <w:tcBorders>
              <w:top w:val="single" w:sz="4" w:space="0" w:color="auto"/>
              <w:left w:val="single" w:sz="4" w:space="0" w:color="auto"/>
              <w:bottom w:val="single" w:sz="4" w:space="0" w:color="auto"/>
              <w:right w:val="single" w:sz="4" w:space="0" w:color="auto"/>
            </w:tcBorders>
          </w:tcPr>
          <w:p w14:paraId="5720938C" w14:textId="77777777" w:rsidR="00167B0A" w:rsidRPr="00530440" w:rsidRDefault="00167B0A">
            <w:pPr>
              <w:pStyle w:val="Default"/>
              <w:rPr>
                <w:sz w:val="16"/>
                <w:szCs w:val="16"/>
              </w:rPr>
            </w:pPr>
            <w:r w:rsidRPr="00530440">
              <w:rPr>
                <w:sz w:val="16"/>
                <w:szCs w:val="16"/>
              </w:rPr>
              <w:t xml:space="preserve">administração central </w:t>
            </w:r>
          </w:p>
        </w:tc>
        <w:tc>
          <w:tcPr>
            <w:tcW w:w="851" w:type="dxa"/>
            <w:tcBorders>
              <w:top w:val="single" w:sz="4" w:space="0" w:color="auto"/>
              <w:left w:val="single" w:sz="4" w:space="0" w:color="auto"/>
              <w:bottom w:val="single" w:sz="4" w:space="0" w:color="auto"/>
              <w:right w:val="single" w:sz="4" w:space="0" w:color="auto"/>
            </w:tcBorders>
          </w:tcPr>
          <w:p w14:paraId="17C93DB9" w14:textId="5AD7D317" w:rsidR="00167B0A" w:rsidRPr="00530440" w:rsidRDefault="008E61F3">
            <w:pPr>
              <w:pStyle w:val="Default"/>
              <w:rPr>
                <w:sz w:val="16"/>
                <w:szCs w:val="16"/>
              </w:rPr>
            </w:pPr>
            <w:r>
              <w:rPr>
                <w:sz w:val="16"/>
                <w:szCs w:val="16"/>
              </w:rPr>
              <w:t xml:space="preserve">    </w:t>
            </w:r>
            <w:r w:rsidR="00167B0A" w:rsidRPr="00530440">
              <w:rPr>
                <w:sz w:val="16"/>
                <w:szCs w:val="16"/>
              </w:rPr>
              <w:t xml:space="preserve">5,29% </w:t>
            </w:r>
          </w:p>
        </w:tc>
        <w:tc>
          <w:tcPr>
            <w:tcW w:w="1134" w:type="dxa"/>
            <w:tcBorders>
              <w:top w:val="single" w:sz="4" w:space="0" w:color="auto"/>
              <w:left w:val="single" w:sz="4" w:space="0" w:color="auto"/>
              <w:bottom w:val="single" w:sz="4" w:space="0" w:color="auto"/>
              <w:right w:val="single" w:sz="4" w:space="0" w:color="auto"/>
            </w:tcBorders>
          </w:tcPr>
          <w:p w14:paraId="1E51B036" w14:textId="3810B6F7" w:rsidR="00167B0A" w:rsidRPr="00530440" w:rsidRDefault="00B52BE9">
            <w:pPr>
              <w:pStyle w:val="Default"/>
              <w:rPr>
                <w:sz w:val="16"/>
                <w:szCs w:val="16"/>
              </w:rPr>
            </w:pPr>
            <w:r>
              <w:rPr>
                <w:sz w:val="16"/>
                <w:szCs w:val="16"/>
              </w:rPr>
              <w:t xml:space="preserve">     </w:t>
            </w:r>
            <w:r w:rsidR="00167B0A" w:rsidRPr="00530440">
              <w:rPr>
                <w:sz w:val="16"/>
                <w:szCs w:val="16"/>
              </w:rPr>
              <w:t xml:space="preserve">1,50% </w:t>
            </w:r>
          </w:p>
        </w:tc>
        <w:tc>
          <w:tcPr>
            <w:tcW w:w="1134" w:type="dxa"/>
            <w:tcBorders>
              <w:top w:val="single" w:sz="4" w:space="0" w:color="auto"/>
              <w:left w:val="single" w:sz="4" w:space="0" w:color="auto"/>
              <w:bottom w:val="single" w:sz="4" w:space="0" w:color="auto"/>
              <w:right w:val="single" w:sz="4" w:space="0" w:color="auto"/>
            </w:tcBorders>
          </w:tcPr>
          <w:p w14:paraId="3EE1BE77" w14:textId="77777777" w:rsidR="00167B0A" w:rsidRPr="00530440" w:rsidRDefault="00167B0A">
            <w:pPr>
              <w:pStyle w:val="Default"/>
              <w:rPr>
                <w:sz w:val="16"/>
                <w:szCs w:val="16"/>
              </w:rPr>
            </w:pPr>
            <w:r w:rsidRPr="00530440">
              <w:rPr>
                <w:sz w:val="16"/>
                <w:szCs w:val="16"/>
              </w:rPr>
              <w:t xml:space="preserve">3,40% </w:t>
            </w:r>
          </w:p>
        </w:tc>
        <w:tc>
          <w:tcPr>
            <w:tcW w:w="850" w:type="dxa"/>
            <w:tcBorders>
              <w:top w:val="single" w:sz="4" w:space="0" w:color="auto"/>
              <w:left w:val="single" w:sz="4" w:space="0" w:color="auto"/>
              <w:bottom w:val="single" w:sz="4" w:space="0" w:color="auto"/>
              <w:right w:val="single" w:sz="4" w:space="0" w:color="auto"/>
            </w:tcBorders>
          </w:tcPr>
          <w:p w14:paraId="7554B391" w14:textId="77777777" w:rsidR="00167B0A" w:rsidRPr="00530440" w:rsidRDefault="00167B0A">
            <w:pPr>
              <w:pStyle w:val="Default"/>
              <w:rPr>
                <w:sz w:val="16"/>
                <w:szCs w:val="16"/>
              </w:rPr>
            </w:pPr>
            <w:r w:rsidRPr="00530440">
              <w:rPr>
                <w:sz w:val="16"/>
                <w:szCs w:val="16"/>
              </w:rPr>
              <w:t xml:space="preserve">1,00% </w:t>
            </w:r>
          </w:p>
        </w:tc>
      </w:tr>
      <w:tr w:rsidR="00167B0A" w:rsidRPr="00530440" w14:paraId="3C56993C" w14:textId="77777777" w:rsidTr="00B52BE9">
        <w:trPr>
          <w:trHeight w:val="112"/>
        </w:trPr>
        <w:tc>
          <w:tcPr>
            <w:tcW w:w="1804" w:type="dxa"/>
            <w:tcBorders>
              <w:top w:val="single" w:sz="4" w:space="0" w:color="auto"/>
              <w:left w:val="single" w:sz="4" w:space="0" w:color="auto"/>
              <w:bottom w:val="single" w:sz="4" w:space="0" w:color="auto"/>
              <w:right w:val="single" w:sz="4" w:space="0" w:color="auto"/>
            </w:tcBorders>
          </w:tcPr>
          <w:p w14:paraId="53F2BC58" w14:textId="77777777" w:rsidR="00167B0A" w:rsidRPr="00530440" w:rsidRDefault="00167B0A">
            <w:pPr>
              <w:pStyle w:val="Default"/>
              <w:rPr>
                <w:sz w:val="16"/>
                <w:szCs w:val="16"/>
              </w:rPr>
            </w:pPr>
            <w:r w:rsidRPr="00530440">
              <w:rPr>
                <w:sz w:val="16"/>
                <w:szCs w:val="16"/>
              </w:rPr>
              <w:t xml:space="preserve">despesas financeiras </w:t>
            </w:r>
          </w:p>
        </w:tc>
        <w:tc>
          <w:tcPr>
            <w:tcW w:w="851" w:type="dxa"/>
            <w:tcBorders>
              <w:top w:val="single" w:sz="4" w:space="0" w:color="auto"/>
              <w:left w:val="single" w:sz="4" w:space="0" w:color="auto"/>
              <w:bottom w:val="single" w:sz="4" w:space="0" w:color="auto"/>
              <w:right w:val="single" w:sz="4" w:space="0" w:color="auto"/>
            </w:tcBorders>
          </w:tcPr>
          <w:p w14:paraId="223050A4" w14:textId="542D7442" w:rsidR="00167B0A" w:rsidRPr="00530440" w:rsidRDefault="008E61F3">
            <w:pPr>
              <w:pStyle w:val="Default"/>
              <w:rPr>
                <w:sz w:val="16"/>
                <w:szCs w:val="16"/>
              </w:rPr>
            </w:pPr>
            <w:r>
              <w:rPr>
                <w:sz w:val="16"/>
                <w:szCs w:val="16"/>
              </w:rPr>
              <w:t xml:space="preserve">    </w:t>
            </w:r>
            <w:r w:rsidR="00167B0A" w:rsidRPr="00530440">
              <w:rPr>
                <w:sz w:val="16"/>
                <w:szCs w:val="16"/>
              </w:rPr>
              <w:t xml:space="preserve">1,01% </w:t>
            </w:r>
          </w:p>
        </w:tc>
        <w:tc>
          <w:tcPr>
            <w:tcW w:w="1134" w:type="dxa"/>
            <w:tcBorders>
              <w:top w:val="single" w:sz="4" w:space="0" w:color="auto"/>
              <w:left w:val="single" w:sz="4" w:space="0" w:color="auto"/>
              <w:bottom w:val="single" w:sz="4" w:space="0" w:color="auto"/>
              <w:right w:val="single" w:sz="4" w:space="0" w:color="auto"/>
            </w:tcBorders>
          </w:tcPr>
          <w:p w14:paraId="329260CC" w14:textId="232F4677" w:rsidR="00167B0A" w:rsidRPr="00530440" w:rsidRDefault="00B52BE9">
            <w:pPr>
              <w:pStyle w:val="Default"/>
              <w:rPr>
                <w:sz w:val="16"/>
                <w:szCs w:val="16"/>
              </w:rPr>
            </w:pPr>
            <w:r>
              <w:rPr>
                <w:sz w:val="16"/>
                <w:szCs w:val="16"/>
              </w:rPr>
              <w:t xml:space="preserve">     </w:t>
            </w:r>
            <w:r w:rsidR="00167B0A" w:rsidRPr="00530440">
              <w:rPr>
                <w:sz w:val="16"/>
                <w:szCs w:val="16"/>
              </w:rPr>
              <w:t xml:space="preserve">0,85% </w:t>
            </w:r>
          </w:p>
        </w:tc>
        <w:tc>
          <w:tcPr>
            <w:tcW w:w="1134" w:type="dxa"/>
            <w:tcBorders>
              <w:top w:val="single" w:sz="4" w:space="0" w:color="auto"/>
              <w:left w:val="single" w:sz="4" w:space="0" w:color="auto"/>
              <w:bottom w:val="single" w:sz="4" w:space="0" w:color="auto"/>
              <w:right w:val="single" w:sz="4" w:space="0" w:color="auto"/>
            </w:tcBorders>
          </w:tcPr>
          <w:p w14:paraId="349834F2" w14:textId="77777777" w:rsidR="00167B0A" w:rsidRPr="00530440" w:rsidRDefault="00167B0A">
            <w:pPr>
              <w:pStyle w:val="Default"/>
              <w:rPr>
                <w:sz w:val="16"/>
                <w:szCs w:val="16"/>
              </w:rPr>
            </w:pPr>
            <w:r w:rsidRPr="00530440">
              <w:rPr>
                <w:sz w:val="16"/>
                <w:szCs w:val="16"/>
              </w:rPr>
              <w:t xml:space="preserve">0,70% </w:t>
            </w:r>
          </w:p>
        </w:tc>
        <w:tc>
          <w:tcPr>
            <w:tcW w:w="850" w:type="dxa"/>
            <w:tcBorders>
              <w:top w:val="single" w:sz="4" w:space="0" w:color="auto"/>
              <w:left w:val="single" w:sz="4" w:space="0" w:color="auto"/>
              <w:bottom w:val="single" w:sz="4" w:space="0" w:color="auto"/>
              <w:right w:val="single" w:sz="4" w:space="0" w:color="auto"/>
            </w:tcBorders>
          </w:tcPr>
          <w:p w14:paraId="4E3402A7" w14:textId="77777777" w:rsidR="00167B0A" w:rsidRPr="00530440" w:rsidRDefault="00167B0A">
            <w:pPr>
              <w:pStyle w:val="Default"/>
              <w:rPr>
                <w:sz w:val="16"/>
                <w:szCs w:val="16"/>
              </w:rPr>
            </w:pPr>
            <w:r w:rsidRPr="00530440">
              <w:rPr>
                <w:sz w:val="16"/>
                <w:szCs w:val="16"/>
              </w:rPr>
              <w:t xml:space="preserve">0,55% </w:t>
            </w:r>
          </w:p>
        </w:tc>
      </w:tr>
      <w:tr w:rsidR="00167B0A" w:rsidRPr="00530440" w14:paraId="1EFAFC51" w14:textId="77777777" w:rsidTr="00B52BE9">
        <w:trPr>
          <w:trHeight w:val="112"/>
        </w:trPr>
        <w:tc>
          <w:tcPr>
            <w:tcW w:w="1804" w:type="dxa"/>
            <w:tcBorders>
              <w:top w:val="single" w:sz="4" w:space="0" w:color="auto"/>
              <w:left w:val="single" w:sz="4" w:space="0" w:color="auto"/>
              <w:bottom w:val="single" w:sz="4" w:space="0" w:color="auto"/>
              <w:right w:val="single" w:sz="4" w:space="0" w:color="auto"/>
            </w:tcBorders>
          </w:tcPr>
          <w:p w14:paraId="61416118" w14:textId="77777777" w:rsidR="00167B0A" w:rsidRPr="00530440" w:rsidRDefault="00167B0A">
            <w:pPr>
              <w:pStyle w:val="Default"/>
              <w:rPr>
                <w:sz w:val="16"/>
                <w:szCs w:val="16"/>
              </w:rPr>
            </w:pPr>
            <w:r w:rsidRPr="00530440">
              <w:rPr>
                <w:sz w:val="16"/>
                <w:szCs w:val="16"/>
              </w:rPr>
              <w:t xml:space="preserve">lucro </w:t>
            </w:r>
          </w:p>
        </w:tc>
        <w:tc>
          <w:tcPr>
            <w:tcW w:w="851" w:type="dxa"/>
            <w:tcBorders>
              <w:top w:val="single" w:sz="4" w:space="0" w:color="auto"/>
              <w:left w:val="single" w:sz="4" w:space="0" w:color="auto"/>
              <w:bottom w:val="single" w:sz="4" w:space="0" w:color="auto"/>
              <w:right w:val="single" w:sz="4" w:space="0" w:color="auto"/>
            </w:tcBorders>
          </w:tcPr>
          <w:p w14:paraId="2436CECE" w14:textId="2E929167" w:rsidR="00167B0A" w:rsidRPr="00530440" w:rsidRDefault="008E61F3">
            <w:pPr>
              <w:pStyle w:val="Default"/>
              <w:rPr>
                <w:sz w:val="16"/>
                <w:szCs w:val="16"/>
              </w:rPr>
            </w:pPr>
            <w:r>
              <w:rPr>
                <w:sz w:val="16"/>
                <w:szCs w:val="16"/>
              </w:rPr>
              <w:t xml:space="preserve">    </w:t>
            </w:r>
            <w:r w:rsidR="00167B0A" w:rsidRPr="00530440">
              <w:rPr>
                <w:sz w:val="16"/>
                <w:szCs w:val="16"/>
              </w:rPr>
              <w:t xml:space="preserve">8,00% </w:t>
            </w:r>
          </w:p>
        </w:tc>
        <w:tc>
          <w:tcPr>
            <w:tcW w:w="1134" w:type="dxa"/>
            <w:tcBorders>
              <w:top w:val="single" w:sz="4" w:space="0" w:color="auto"/>
              <w:left w:val="single" w:sz="4" w:space="0" w:color="auto"/>
              <w:bottom w:val="single" w:sz="4" w:space="0" w:color="auto"/>
              <w:right w:val="single" w:sz="4" w:space="0" w:color="auto"/>
            </w:tcBorders>
          </w:tcPr>
          <w:p w14:paraId="65A87CB1" w14:textId="187F563B" w:rsidR="00167B0A" w:rsidRPr="00530440" w:rsidRDefault="00B52BE9">
            <w:pPr>
              <w:pStyle w:val="Default"/>
              <w:rPr>
                <w:sz w:val="16"/>
                <w:szCs w:val="16"/>
              </w:rPr>
            </w:pPr>
            <w:r>
              <w:rPr>
                <w:sz w:val="16"/>
                <w:szCs w:val="16"/>
              </w:rPr>
              <w:t xml:space="preserve">     </w:t>
            </w:r>
            <w:r w:rsidR="00167B0A" w:rsidRPr="00530440">
              <w:rPr>
                <w:sz w:val="16"/>
                <w:szCs w:val="16"/>
              </w:rPr>
              <w:t xml:space="preserve">3,50% </w:t>
            </w:r>
          </w:p>
        </w:tc>
        <w:tc>
          <w:tcPr>
            <w:tcW w:w="1134" w:type="dxa"/>
            <w:tcBorders>
              <w:top w:val="single" w:sz="4" w:space="0" w:color="auto"/>
              <w:left w:val="single" w:sz="4" w:space="0" w:color="auto"/>
              <w:bottom w:val="single" w:sz="4" w:space="0" w:color="auto"/>
              <w:right w:val="single" w:sz="4" w:space="0" w:color="auto"/>
            </w:tcBorders>
          </w:tcPr>
          <w:p w14:paraId="0BC47390" w14:textId="77777777" w:rsidR="00167B0A" w:rsidRPr="00530440" w:rsidRDefault="00167B0A">
            <w:pPr>
              <w:pStyle w:val="Default"/>
              <w:rPr>
                <w:sz w:val="16"/>
                <w:szCs w:val="16"/>
              </w:rPr>
            </w:pPr>
            <w:r w:rsidRPr="00530440">
              <w:rPr>
                <w:sz w:val="16"/>
                <w:szCs w:val="16"/>
              </w:rPr>
              <w:t xml:space="preserve">6,00% </w:t>
            </w:r>
          </w:p>
        </w:tc>
        <w:tc>
          <w:tcPr>
            <w:tcW w:w="850" w:type="dxa"/>
            <w:tcBorders>
              <w:top w:val="single" w:sz="4" w:space="0" w:color="auto"/>
              <w:left w:val="single" w:sz="4" w:space="0" w:color="auto"/>
              <w:bottom w:val="single" w:sz="4" w:space="0" w:color="auto"/>
              <w:right w:val="single" w:sz="4" w:space="0" w:color="auto"/>
            </w:tcBorders>
          </w:tcPr>
          <w:p w14:paraId="0A9205F3" w14:textId="77777777" w:rsidR="00167B0A" w:rsidRPr="00530440" w:rsidRDefault="00167B0A">
            <w:pPr>
              <w:pStyle w:val="Default"/>
              <w:rPr>
                <w:sz w:val="16"/>
                <w:szCs w:val="16"/>
              </w:rPr>
            </w:pPr>
            <w:r w:rsidRPr="00530440">
              <w:rPr>
                <w:sz w:val="16"/>
                <w:szCs w:val="16"/>
              </w:rPr>
              <w:t xml:space="preserve">3,00% </w:t>
            </w:r>
          </w:p>
        </w:tc>
      </w:tr>
    </w:tbl>
    <w:p w14:paraId="1DAE7C61" w14:textId="5FD737E8" w:rsidR="00522CBE" w:rsidRDefault="00522CBE">
      <w:pPr>
        <w:rPr>
          <w:rFonts w:ascii="Arial" w:hAnsi="Arial" w:cs="Arial"/>
          <w:sz w:val="16"/>
          <w:szCs w:val="16"/>
        </w:rPr>
      </w:pPr>
    </w:p>
    <w:p w14:paraId="3D1E8121" w14:textId="77777777" w:rsidR="000D6FE7" w:rsidRDefault="000D6FE7" w:rsidP="000D6FE7">
      <w:pPr>
        <w:pStyle w:val="Default"/>
        <w:spacing w:after="280"/>
        <w:rPr>
          <w:b/>
          <w:bCs/>
          <w:color w:val="FF0000"/>
          <w:sz w:val="16"/>
          <w:szCs w:val="16"/>
        </w:rPr>
      </w:pPr>
      <w:r>
        <w:rPr>
          <w:b/>
          <w:bCs/>
          <w:color w:val="FF0000"/>
          <w:sz w:val="16"/>
          <w:szCs w:val="16"/>
        </w:rPr>
        <w:t>RESPOSTA:</w:t>
      </w:r>
    </w:p>
    <w:p w14:paraId="377CBFF8" w14:textId="77777777" w:rsidR="000D6FE7" w:rsidRDefault="000D6FE7" w:rsidP="000D6FE7">
      <w:pPr>
        <w:pStyle w:val="Default"/>
        <w:rPr>
          <w:color w:val="auto"/>
          <w:sz w:val="16"/>
          <w:szCs w:val="16"/>
        </w:rPr>
      </w:pPr>
      <w:r>
        <w:rPr>
          <w:color w:val="auto"/>
          <w:sz w:val="16"/>
          <w:szCs w:val="16"/>
        </w:rPr>
        <w:t>ANEXO VI – CÁLCULO DO BDI SEM ALÍQUOTA DE INSS DE 4,5% - ONERADO (DIFERENCIADO)</w:t>
      </w:r>
    </w:p>
    <w:p w14:paraId="47DD6D74" w14:textId="77777777" w:rsidR="000D6FE7" w:rsidRDefault="000D6FE7" w:rsidP="000D6FE7">
      <w:pPr>
        <w:pStyle w:val="Default"/>
        <w:rPr>
          <w:color w:val="auto"/>
          <w:sz w:val="16"/>
          <w:szCs w:val="16"/>
        </w:rPr>
      </w:pPr>
    </w:p>
    <w:p w14:paraId="14BCC53F" w14:textId="77777777" w:rsidR="000D6FE7" w:rsidRDefault="000D6FE7" w:rsidP="000D6FE7">
      <w:pPr>
        <w:pStyle w:val="Default"/>
        <w:rPr>
          <w:color w:val="auto"/>
          <w:sz w:val="16"/>
          <w:szCs w:val="16"/>
        </w:rPr>
      </w:pPr>
      <w:r>
        <w:rPr>
          <w:color w:val="auto"/>
          <w:sz w:val="16"/>
          <w:szCs w:val="16"/>
        </w:rPr>
        <w:t>ANEXO VII - CÁLCULO DO BDI SEM ALÍQUOTA DE INSS DE 4,5% - ONERADO (PADRÃO)</w:t>
      </w:r>
    </w:p>
    <w:p w14:paraId="1DFF2575" w14:textId="77777777" w:rsidR="000D6FE7" w:rsidRDefault="000D6FE7">
      <w:pPr>
        <w:rPr>
          <w:rFonts w:ascii="Arial" w:hAnsi="Arial" w:cs="Arial"/>
          <w:sz w:val="16"/>
          <w:szCs w:val="16"/>
        </w:rPr>
      </w:pPr>
    </w:p>
    <w:p w14:paraId="466B3A6D" w14:textId="564C9306" w:rsidR="008E61F3" w:rsidRPr="000D6FE7" w:rsidRDefault="008E61F3" w:rsidP="008E61F3">
      <w:pPr>
        <w:autoSpaceDE w:val="0"/>
        <w:autoSpaceDN w:val="0"/>
        <w:adjustRightInd w:val="0"/>
        <w:spacing w:after="277" w:line="240" w:lineRule="auto"/>
        <w:rPr>
          <w:rFonts w:ascii="Arial" w:hAnsi="Arial" w:cs="Arial"/>
          <w:color w:val="000000"/>
          <w:sz w:val="16"/>
          <w:szCs w:val="16"/>
        </w:rPr>
      </w:pPr>
      <w:r w:rsidRPr="008E61F3">
        <w:rPr>
          <w:rFonts w:ascii="Arial" w:hAnsi="Arial" w:cs="Arial"/>
          <w:color w:val="000000"/>
          <w:sz w:val="16"/>
          <w:szCs w:val="16"/>
        </w:rPr>
        <w:t xml:space="preserve">12. Apresente PROJETOS BÁSICOS de iluminação das 500 obras sintetizadas na planilha de AMPLIAÇÃO DO PARQUE DE ILUMINAÇÃO - RELAÇÃO DE OBRAS PLANEJADAS para a consolidação dos quantitativos estimados na planilha orçamentária do edital, compostos por: Desenhos com planta contendo a quantificação e descrição dos elementos de iluminação, preferencialmente com quadro resumo por prancha; Memorial descritivo; Memorial de cálculo do projeto e Especificações dos elementos de iluminação e dos serviços, conforme ORIENTAÇÃO TÉCNICA OT - IBR 001/2006 do Instituto Brasileiro de Auditoria de Obras Públicas – IBRAOP. </w:t>
      </w:r>
    </w:p>
    <w:p w14:paraId="07BD623D" w14:textId="77777777" w:rsidR="000D6FE7" w:rsidRPr="000D6FE7" w:rsidRDefault="000D6FE7" w:rsidP="000D6FE7">
      <w:pPr>
        <w:pStyle w:val="Default"/>
        <w:spacing w:after="280"/>
        <w:rPr>
          <w:b/>
          <w:bCs/>
          <w:color w:val="FF0000"/>
          <w:sz w:val="16"/>
          <w:szCs w:val="16"/>
        </w:rPr>
      </w:pPr>
      <w:r w:rsidRPr="000D6FE7">
        <w:rPr>
          <w:b/>
          <w:bCs/>
          <w:color w:val="FF0000"/>
          <w:sz w:val="16"/>
          <w:szCs w:val="16"/>
        </w:rPr>
        <w:t>RESPOSTA:</w:t>
      </w:r>
    </w:p>
    <w:p w14:paraId="2164D6A5" w14:textId="77777777" w:rsidR="000D6FE7" w:rsidRPr="000D6FE7" w:rsidRDefault="000D6FE7" w:rsidP="000D6FE7">
      <w:pPr>
        <w:pStyle w:val="Default"/>
        <w:spacing w:after="280"/>
        <w:rPr>
          <w:color w:val="auto"/>
          <w:sz w:val="16"/>
          <w:szCs w:val="16"/>
        </w:rPr>
      </w:pPr>
      <w:r w:rsidRPr="000D6FE7">
        <w:rPr>
          <w:color w:val="auto"/>
          <w:sz w:val="16"/>
          <w:szCs w:val="16"/>
        </w:rPr>
        <w:t>ANEXO I – RELAÇÃO DE SERVIÇOS PLANEJADOS (PLANILHA EM EXCEL)</w:t>
      </w:r>
    </w:p>
    <w:p w14:paraId="348B4D70" w14:textId="77777777" w:rsidR="000D6FE7" w:rsidRPr="000D6FE7" w:rsidRDefault="000D6FE7" w:rsidP="000D6FE7">
      <w:pPr>
        <w:pStyle w:val="Default"/>
        <w:spacing w:after="280"/>
        <w:rPr>
          <w:color w:val="auto"/>
          <w:sz w:val="16"/>
          <w:szCs w:val="16"/>
        </w:rPr>
      </w:pPr>
      <w:r w:rsidRPr="000D6FE7">
        <w:rPr>
          <w:color w:val="auto"/>
          <w:sz w:val="16"/>
          <w:szCs w:val="16"/>
        </w:rPr>
        <w:t>ANEXO II – LEVANTAMENTO DE CAMPO DAS SOLICITAÇÕES DE INSTALAÇÃO DE NOVAS LUMINÁRIAS (CROQUI)</w:t>
      </w:r>
    </w:p>
    <w:p w14:paraId="4D5D3BDD" w14:textId="104BDFBE" w:rsidR="000D6FE7" w:rsidRPr="008E61F3" w:rsidRDefault="000D6FE7" w:rsidP="000D6FE7">
      <w:pPr>
        <w:pStyle w:val="Default"/>
        <w:spacing w:after="280"/>
        <w:rPr>
          <w:sz w:val="16"/>
          <w:szCs w:val="16"/>
        </w:rPr>
      </w:pPr>
      <w:r w:rsidRPr="000D6FE7">
        <w:rPr>
          <w:color w:val="auto"/>
          <w:sz w:val="16"/>
          <w:szCs w:val="16"/>
        </w:rPr>
        <w:t>OBSERVAÇÃO</w:t>
      </w:r>
      <w:r w:rsidRPr="000D6FE7">
        <w:rPr>
          <w:sz w:val="16"/>
          <w:szCs w:val="16"/>
        </w:rPr>
        <w:t>:</w:t>
      </w:r>
      <w:r>
        <w:rPr>
          <w:sz w:val="16"/>
          <w:szCs w:val="16"/>
        </w:rPr>
        <w:t xml:space="preserve"> Respondido também através do ITEM 4 do voto</w:t>
      </w:r>
    </w:p>
    <w:p w14:paraId="1AAD43FD" w14:textId="6FA63D8D" w:rsidR="008E61F3" w:rsidRPr="008E61F3" w:rsidRDefault="008E61F3" w:rsidP="008E61F3">
      <w:pPr>
        <w:autoSpaceDE w:val="0"/>
        <w:autoSpaceDN w:val="0"/>
        <w:adjustRightInd w:val="0"/>
        <w:spacing w:after="0" w:line="240" w:lineRule="auto"/>
        <w:rPr>
          <w:rFonts w:ascii="Arial" w:hAnsi="Arial" w:cs="Arial"/>
          <w:color w:val="000000"/>
          <w:sz w:val="16"/>
          <w:szCs w:val="16"/>
        </w:rPr>
      </w:pPr>
      <w:r w:rsidRPr="008E61F3">
        <w:rPr>
          <w:rFonts w:ascii="Arial" w:hAnsi="Arial" w:cs="Arial"/>
          <w:color w:val="000000"/>
          <w:sz w:val="16"/>
          <w:szCs w:val="16"/>
        </w:rPr>
        <w:t xml:space="preserve">13. Justifique </w:t>
      </w:r>
      <w:r w:rsidRPr="008E61F3">
        <w:rPr>
          <w:rFonts w:ascii="Arial" w:hAnsi="Arial" w:cs="Arial"/>
          <w:b/>
          <w:bCs/>
          <w:color w:val="000000"/>
          <w:sz w:val="16"/>
          <w:szCs w:val="16"/>
        </w:rPr>
        <w:t xml:space="preserve">OU </w:t>
      </w:r>
      <w:r w:rsidRPr="008E61F3">
        <w:rPr>
          <w:rFonts w:ascii="Arial" w:hAnsi="Arial" w:cs="Arial"/>
          <w:color w:val="000000"/>
          <w:sz w:val="16"/>
          <w:szCs w:val="16"/>
        </w:rPr>
        <w:t xml:space="preserve">compatibilize o TERMO DE REFERÊNCIA e a PLANILHA ORÇAMENTÁRIA, pois o Termo informa o quantitativo de 35.059 pontos para eficientização, </w:t>
      </w:r>
      <w:r w:rsidR="000D6FE7" w:rsidRPr="008E61F3">
        <w:rPr>
          <w:rFonts w:ascii="Arial" w:hAnsi="Arial" w:cs="Arial"/>
          <w:color w:val="000000"/>
          <w:sz w:val="16"/>
          <w:szCs w:val="16"/>
        </w:rPr>
        <w:t>enquanto</w:t>
      </w:r>
      <w:r w:rsidRPr="008E61F3">
        <w:rPr>
          <w:rFonts w:ascii="Arial" w:hAnsi="Arial" w:cs="Arial"/>
          <w:color w:val="000000"/>
          <w:sz w:val="16"/>
          <w:szCs w:val="16"/>
        </w:rPr>
        <w:t xml:space="preserve"> a planilha orçamentária compreende, apenas, 17.346 luminárias em LED e serviços/fornecimentos correlatos. </w:t>
      </w:r>
    </w:p>
    <w:p w14:paraId="0415F2F7" w14:textId="63D5B967" w:rsidR="008E61F3" w:rsidRDefault="008E61F3" w:rsidP="008E61F3">
      <w:pPr>
        <w:autoSpaceDE w:val="0"/>
        <w:autoSpaceDN w:val="0"/>
        <w:adjustRightInd w:val="0"/>
        <w:spacing w:after="0" w:line="240" w:lineRule="auto"/>
        <w:rPr>
          <w:rFonts w:ascii="Arial" w:hAnsi="Arial" w:cs="Arial"/>
          <w:color w:val="000000"/>
          <w:sz w:val="16"/>
          <w:szCs w:val="16"/>
        </w:rPr>
      </w:pPr>
    </w:p>
    <w:p w14:paraId="1936A1A0" w14:textId="64A8D2D7" w:rsidR="000D6FE7" w:rsidRDefault="000D6FE7" w:rsidP="000D6FE7">
      <w:pPr>
        <w:pStyle w:val="Default"/>
        <w:spacing w:after="280"/>
        <w:rPr>
          <w:color w:val="FF0000"/>
          <w:sz w:val="16"/>
          <w:szCs w:val="16"/>
        </w:rPr>
      </w:pPr>
      <w:r w:rsidRPr="000D6FE7">
        <w:rPr>
          <w:b/>
          <w:bCs/>
          <w:color w:val="FF0000"/>
          <w:sz w:val="16"/>
          <w:szCs w:val="16"/>
        </w:rPr>
        <w:t>RESPOSTA</w:t>
      </w:r>
      <w:r>
        <w:rPr>
          <w:b/>
          <w:bCs/>
          <w:color w:val="FF0000"/>
          <w:sz w:val="16"/>
          <w:szCs w:val="16"/>
        </w:rPr>
        <w:t xml:space="preserve"> / </w:t>
      </w:r>
      <w:r w:rsidRPr="000D6FE7">
        <w:rPr>
          <w:color w:val="FF0000"/>
          <w:sz w:val="16"/>
          <w:szCs w:val="16"/>
        </w:rPr>
        <w:t>JUSTIFICATIVA:</w:t>
      </w:r>
    </w:p>
    <w:p w14:paraId="3348796F" w14:textId="0CEAD595" w:rsidR="00A74766" w:rsidRPr="000D6FE7" w:rsidRDefault="000D6FE7" w:rsidP="00A74766">
      <w:pPr>
        <w:pStyle w:val="Default"/>
        <w:spacing w:after="280"/>
        <w:jc w:val="both"/>
        <w:rPr>
          <w:color w:val="auto"/>
          <w:sz w:val="16"/>
          <w:szCs w:val="16"/>
        </w:rPr>
      </w:pPr>
      <w:r>
        <w:rPr>
          <w:color w:val="auto"/>
          <w:sz w:val="16"/>
          <w:szCs w:val="16"/>
        </w:rPr>
        <w:t xml:space="preserve">Conforme informado no </w:t>
      </w:r>
      <w:r w:rsidRPr="00166D5F">
        <w:rPr>
          <w:b/>
          <w:bCs/>
          <w:color w:val="auto"/>
          <w:sz w:val="16"/>
          <w:szCs w:val="16"/>
        </w:rPr>
        <w:t>TERMO DE REFERÊNCIA</w:t>
      </w:r>
      <w:r>
        <w:rPr>
          <w:color w:val="auto"/>
          <w:sz w:val="16"/>
          <w:szCs w:val="16"/>
        </w:rPr>
        <w:t xml:space="preserve"> atualmente existem 35.059 pontos de iluminação pública instalados no Parque de Iluminação Pública do Município de Petrópolis que são passiveis de serem eficientizado, ou seja, poderão ser substituídos por luminárias com tecnologia LED, no entanto devido ao custo elevado que se verificaria em substituir 100% do parque, optou-se em fazer a substituição em parte destes ponto</w:t>
      </w:r>
      <w:r w:rsidR="00A74766">
        <w:rPr>
          <w:color w:val="auto"/>
          <w:sz w:val="16"/>
          <w:szCs w:val="16"/>
        </w:rPr>
        <w:t xml:space="preserve">. Conforme demonstrado na memória de cálculo do ITEM 27 – Código IP 50.05.0999-1; </w:t>
      </w:r>
      <w:r w:rsidR="008166B8">
        <w:rPr>
          <w:color w:val="auto"/>
          <w:sz w:val="16"/>
          <w:szCs w:val="16"/>
        </w:rPr>
        <w:t xml:space="preserve">do </w:t>
      </w:r>
      <w:r w:rsidR="00A74766">
        <w:rPr>
          <w:color w:val="auto"/>
          <w:sz w:val="16"/>
          <w:szCs w:val="16"/>
        </w:rPr>
        <w:t>ITEM</w:t>
      </w:r>
      <w:r w:rsidR="008166B8">
        <w:rPr>
          <w:color w:val="auto"/>
          <w:sz w:val="16"/>
          <w:szCs w:val="16"/>
        </w:rPr>
        <w:t xml:space="preserve"> 28 – Código IP 50.05.0999-2</w:t>
      </w:r>
      <w:r>
        <w:rPr>
          <w:color w:val="auto"/>
          <w:sz w:val="16"/>
          <w:szCs w:val="16"/>
        </w:rPr>
        <w:t xml:space="preserve">, </w:t>
      </w:r>
      <w:r w:rsidR="008166B8">
        <w:rPr>
          <w:color w:val="auto"/>
          <w:sz w:val="16"/>
          <w:szCs w:val="16"/>
        </w:rPr>
        <w:t>do ITEM 29 – Código IP 50.05.0999-3; do ITEM 30 – Código IP 50.05.0999-4. S</w:t>
      </w:r>
      <w:r>
        <w:rPr>
          <w:color w:val="auto"/>
          <w:sz w:val="16"/>
          <w:szCs w:val="16"/>
        </w:rPr>
        <w:t>endo assim da quantidade de pontos onde encontram</w:t>
      </w:r>
      <w:r w:rsidR="00A74766">
        <w:rPr>
          <w:color w:val="auto"/>
          <w:sz w:val="16"/>
          <w:szCs w:val="16"/>
        </w:rPr>
        <w:t xml:space="preserve">-se instalados </w:t>
      </w:r>
      <w:r>
        <w:rPr>
          <w:color w:val="auto"/>
          <w:sz w:val="16"/>
          <w:szCs w:val="16"/>
        </w:rPr>
        <w:t>luminárias com lâmpadas de vapor de sódio de 70 watts, lâmpada de vapor de mercúrio de 80 watts e 125 watts, totalizando 19.490 pontos, deste total a contratação irá contemplar somente 25% dos pontos, ou seja, 4</w:t>
      </w:r>
      <w:r w:rsidR="006609E3">
        <w:rPr>
          <w:color w:val="auto"/>
          <w:sz w:val="16"/>
          <w:szCs w:val="16"/>
        </w:rPr>
        <w:t>.</w:t>
      </w:r>
      <w:r>
        <w:rPr>
          <w:color w:val="auto"/>
          <w:sz w:val="16"/>
          <w:szCs w:val="16"/>
        </w:rPr>
        <w:t>872 pontos</w:t>
      </w:r>
      <w:r w:rsidR="006609E3">
        <w:rPr>
          <w:color w:val="auto"/>
          <w:sz w:val="16"/>
          <w:szCs w:val="16"/>
        </w:rPr>
        <w:t xml:space="preserve"> eficientizado</w:t>
      </w:r>
      <w:r>
        <w:rPr>
          <w:color w:val="auto"/>
          <w:sz w:val="16"/>
          <w:szCs w:val="16"/>
        </w:rPr>
        <w:t>.</w:t>
      </w:r>
      <w:r w:rsidR="006609E3">
        <w:rPr>
          <w:color w:val="auto"/>
          <w:sz w:val="16"/>
          <w:szCs w:val="16"/>
        </w:rPr>
        <w:t xml:space="preserve"> Para os pontos com lâmpadas de vapor de sódio de 100 watts, que totalizam 7854 pontos, foram previstos a substituição de 50% deste total correspondendo à 3.927 pontos eficientizado. Para os pontos com lâmpadas de vapor de sódio de 150 watt</w:t>
      </w:r>
      <w:r w:rsidR="00A72713">
        <w:rPr>
          <w:color w:val="auto"/>
          <w:sz w:val="16"/>
          <w:szCs w:val="16"/>
        </w:rPr>
        <w:t xml:space="preserve"> </w:t>
      </w:r>
      <w:r w:rsidR="006609E3">
        <w:rPr>
          <w:color w:val="auto"/>
          <w:sz w:val="16"/>
          <w:szCs w:val="16"/>
        </w:rPr>
        <w:t>que totalizam 4.992 pontos, foram previstos a substituição de 100%</w:t>
      </w:r>
      <w:r w:rsidR="00A74766">
        <w:rPr>
          <w:color w:val="auto"/>
          <w:sz w:val="16"/>
          <w:szCs w:val="16"/>
        </w:rPr>
        <w:t>.</w:t>
      </w:r>
      <w:r w:rsidR="006609E3">
        <w:rPr>
          <w:color w:val="auto"/>
          <w:sz w:val="16"/>
          <w:szCs w:val="16"/>
        </w:rPr>
        <w:t xml:space="preserve"> </w:t>
      </w:r>
      <w:r w:rsidR="00A74766">
        <w:rPr>
          <w:color w:val="auto"/>
          <w:sz w:val="16"/>
          <w:szCs w:val="16"/>
        </w:rPr>
        <w:t xml:space="preserve">Para os pontos com lâmpadas de vapor de sódio de 250 watts, que totalizam 1.176 pontos, foram previstos a substituição de </w:t>
      </w:r>
      <w:r w:rsidR="00A72713">
        <w:rPr>
          <w:color w:val="auto"/>
          <w:sz w:val="16"/>
          <w:szCs w:val="16"/>
        </w:rPr>
        <w:t>10</w:t>
      </w:r>
      <w:r w:rsidR="00A74766">
        <w:rPr>
          <w:color w:val="auto"/>
          <w:sz w:val="16"/>
          <w:szCs w:val="16"/>
        </w:rPr>
        <w:t xml:space="preserve">0% deste total. Desta maneira ao se somar a este quantitativos os pontos novos a serem instalados, isto irá totalizar os 17.346 pontos previstos. </w:t>
      </w:r>
    </w:p>
    <w:p w14:paraId="647765AE" w14:textId="50C91F03" w:rsidR="008E61F3" w:rsidRDefault="008E61F3" w:rsidP="008E61F3">
      <w:pPr>
        <w:autoSpaceDE w:val="0"/>
        <w:autoSpaceDN w:val="0"/>
        <w:adjustRightInd w:val="0"/>
        <w:spacing w:after="277" w:line="240" w:lineRule="auto"/>
        <w:rPr>
          <w:rFonts w:ascii="Arial" w:hAnsi="Arial" w:cs="Arial"/>
          <w:sz w:val="16"/>
          <w:szCs w:val="16"/>
        </w:rPr>
      </w:pPr>
      <w:r w:rsidRPr="008E61F3">
        <w:rPr>
          <w:rFonts w:ascii="Arial" w:hAnsi="Arial" w:cs="Arial"/>
          <w:sz w:val="16"/>
          <w:szCs w:val="16"/>
        </w:rPr>
        <w:t>14. Apresente ART ou RRT, acompanhada de respectiva guia de recolhimento quitada, que identifique o(s) responsável(</w:t>
      </w:r>
      <w:proofErr w:type="spellStart"/>
      <w:r w:rsidRPr="008E61F3">
        <w:rPr>
          <w:rFonts w:ascii="Arial" w:hAnsi="Arial" w:cs="Arial"/>
          <w:sz w:val="16"/>
          <w:szCs w:val="16"/>
        </w:rPr>
        <w:t>éis</w:t>
      </w:r>
      <w:proofErr w:type="spellEnd"/>
      <w:r w:rsidRPr="008E61F3">
        <w:rPr>
          <w:rFonts w:ascii="Arial" w:hAnsi="Arial" w:cs="Arial"/>
          <w:sz w:val="16"/>
          <w:szCs w:val="16"/>
        </w:rPr>
        <w:t xml:space="preserve">) técnico(s) pelo Projeto Básico (termo de referência) e orçamento. </w:t>
      </w:r>
    </w:p>
    <w:p w14:paraId="751ED7DA" w14:textId="77777777" w:rsidR="008166B8" w:rsidRPr="000D6FE7" w:rsidRDefault="008166B8" w:rsidP="008166B8">
      <w:pPr>
        <w:pStyle w:val="Default"/>
        <w:spacing w:after="280"/>
        <w:rPr>
          <w:b/>
          <w:bCs/>
          <w:color w:val="FF0000"/>
          <w:sz w:val="16"/>
          <w:szCs w:val="16"/>
        </w:rPr>
      </w:pPr>
      <w:r w:rsidRPr="000D6FE7">
        <w:rPr>
          <w:b/>
          <w:bCs/>
          <w:color w:val="FF0000"/>
          <w:sz w:val="16"/>
          <w:szCs w:val="16"/>
        </w:rPr>
        <w:t>RESPOSTA:</w:t>
      </w:r>
    </w:p>
    <w:p w14:paraId="3B4BB910" w14:textId="21673914" w:rsidR="008166B8" w:rsidRDefault="008166B8" w:rsidP="008166B8">
      <w:pPr>
        <w:pStyle w:val="Default"/>
        <w:spacing w:after="280"/>
        <w:rPr>
          <w:color w:val="auto"/>
          <w:sz w:val="16"/>
          <w:szCs w:val="16"/>
        </w:rPr>
      </w:pPr>
      <w:r w:rsidRPr="000D6FE7">
        <w:rPr>
          <w:color w:val="auto"/>
          <w:sz w:val="16"/>
          <w:szCs w:val="16"/>
        </w:rPr>
        <w:t>ANEXO I</w:t>
      </w:r>
      <w:r>
        <w:rPr>
          <w:color w:val="auto"/>
          <w:sz w:val="16"/>
          <w:szCs w:val="16"/>
        </w:rPr>
        <w:t>X</w:t>
      </w:r>
      <w:r w:rsidRPr="000D6FE7">
        <w:rPr>
          <w:color w:val="auto"/>
          <w:sz w:val="16"/>
          <w:szCs w:val="16"/>
        </w:rPr>
        <w:t xml:space="preserve"> – </w:t>
      </w:r>
      <w:r w:rsidR="00457A4A">
        <w:rPr>
          <w:color w:val="auto"/>
          <w:sz w:val="16"/>
          <w:szCs w:val="16"/>
        </w:rPr>
        <w:t>CÓPIA DA ANOTAÇÃO DE RESPONSABILIDADE TÉCNICA (ART)</w:t>
      </w:r>
    </w:p>
    <w:p w14:paraId="10057B73" w14:textId="038DFFA3" w:rsidR="00457A4A" w:rsidRPr="000D6FE7" w:rsidRDefault="00457A4A" w:rsidP="008166B8">
      <w:pPr>
        <w:pStyle w:val="Default"/>
        <w:spacing w:after="280"/>
        <w:rPr>
          <w:color w:val="auto"/>
          <w:sz w:val="16"/>
          <w:szCs w:val="16"/>
        </w:rPr>
      </w:pPr>
      <w:r>
        <w:rPr>
          <w:color w:val="auto"/>
          <w:sz w:val="16"/>
          <w:szCs w:val="16"/>
        </w:rPr>
        <w:t>ANEXO X – CÓPIA DA CARTEIRA DO CREA/RJ</w:t>
      </w:r>
    </w:p>
    <w:p w14:paraId="4EB79D6A" w14:textId="77777777" w:rsidR="008166B8" w:rsidRDefault="008166B8" w:rsidP="008E61F3">
      <w:pPr>
        <w:autoSpaceDE w:val="0"/>
        <w:autoSpaceDN w:val="0"/>
        <w:adjustRightInd w:val="0"/>
        <w:spacing w:after="277" w:line="240" w:lineRule="auto"/>
        <w:rPr>
          <w:rFonts w:ascii="Arial" w:hAnsi="Arial" w:cs="Arial"/>
          <w:sz w:val="16"/>
          <w:szCs w:val="16"/>
        </w:rPr>
      </w:pPr>
    </w:p>
    <w:p w14:paraId="08E9C489" w14:textId="77777777" w:rsidR="008166B8" w:rsidRPr="008E61F3" w:rsidRDefault="008166B8" w:rsidP="008E61F3">
      <w:pPr>
        <w:autoSpaceDE w:val="0"/>
        <w:autoSpaceDN w:val="0"/>
        <w:adjustRightInd w:val="0"/>
        <w:spacing w:after="277" w:line="240" w:lineRule="auto"/>
        <w:rPr>
          <w:rFonts w:ascii="Arial" w:hAnsi="Arial" w:cs="Arial"/>
          <w:sz w:val="16"/>
          <w:szCs w:val="16"/>
        </w:rPr>
      </w:pPr>
    </w:p>
    <w:p w14:paraId="5384AC83" w14:textId="288828A4" w:rsidR="008E61F3" w:rsidRDefault="008E61F3" w:rsidP="008E61F3">
      <w:pPr>
        <w:autoSpaceDE w:val="0"/>
        <w:autoSpaceDN w:val="0"/>
        <w:adjustRightInd w:val="0"/>
        <w:spacing w:after="277" w:line="240" w:lineRule="auto"/>
        <w:rPr>
          <w:rFonts w:ascii="Arial" w:hAnsi="Arial" w:cs="Arial"/>
          <w:sz w:val="16"/>
          <w:szCs w:val="16"/>
        </w:rPr>
      </w:pPr>
      <w:r w:rsidRPr="008E61F3">
        <w:rPr>
          <w:rFonts w:ascii="Arial" w:hAnsi="Arial" w:cs="Arial"/>
          <w:sz w:val="16"/>
          <w:szCs w:val="16"/>
        </w:rPr>
        <w:t xml:space="preserve">15. Inclua no Edital as parcelas de maior relevância técnica e de valor significativo para limitar as características de compatibilidade com objeto desta licitação, exigidas na comprovação de qualificação técnica no subitem 7.1.1.6 – DOCUMENTOS RELATIVOS À QUALIFICAÇÃO TÉCNICA do Edital, conforme estabelecido no §2º do art. 30 da Lei Federal nº 8.666/93. Ressalto que não deverão constar dentre as parcelas consideradas de maior relevância os itens de pouco valor significativo (itens que representem menos de 4% do preço total estimado) e de pouca relevância técnica na execução do objeto, não devendo haver quantificação nas parcelas para qualificação técnica profissional e, no caso de atestados de capacidade operacional, sugere-se que a quantidade mínima de experiência não supere 50% (cinquenta por cento) do quantitativo do serviço correspondente no orçamento. </w:t>
      </w:r>
    </w:p>
    <w:p w14:paraId="3122D74B" w14:textId="77777777" w:rsidR="00021660" w:rsidRPr="000D6FE7" w:rsidRDefault="00021660" w:rsidP="00021660">
      <w:pPr>
        <w:pStyle w:val="Default"/>
        <w:spacing w:after="280"/>
        <w:rPr>
          <w:b/>
          <w:bCs/>
          <w:color w:val="FF0000"/>
          <w:sz w:val="16"/>
          <w:szCs w:val="16"/>
        </w:rPr>
      </w:pPr>
      <w:r w:rsidRPr="000D6FE7">
        <w:rPr>
          <w:b/>
          <w:bCs/>
          <w:color w:val="FF0000"/>
          <w:sz w:val="16"/>
          <w:szCs w:val="16"/>
        </w:rPr>
        <w:t>RESPOSTA:</w:t>
      </w:r>
    </w:p>
    <w:p w14:paraId="17CD9E11" w14:textId="77777777" w:rsidR="00021660" w:rsidRPr="00021660" w:rsidRDefault="00021660" w:rsidP="00021660">
      <w:pPr>
        <w:rPr>
          <w:rFonts w:ascii="Arial" w:hAnsi="Arial" w:cs="Arial"/>
          <w:b/>
          <w:bCs/>
          <w:sz w:val="16"/>
          <w:szCs w:val="16"/>
        </w:rPr>
      </w:pPr>
      <w:r w:rsidRPr="00021660">
        <w:rPr>
          <w:rFonts w:ascii="Arial" w:hAnsi="Arial" w:cs="Arial"/>
          <w:b/>
          <w:bCs/>
          <w:sz w:val="16"/>
          <w:szCs w:val="16"/>
        </w:rPr>
        <w:t>1 – QUALIFICAÇÃO TÉCNICA</w:t>
      </w:r>
    </w:p>
    <w:p w14:paraId="146B5A78" w14:textId="77777777" w:rsidR="00021660" w:rsidRPr="00021660" w:rsidRDefault="00021660" w:rsidP="00021660">
      <w:pPr>
        <w:rPr>
          <w:rFonts w:ascii="Arial" w:hAnsi="Arial" w:cs="Arial"/>
          <w:sz w:val="16"/>
          <w:szCs w:val="16"/>
        </w:rPr>
      </w:pPr>
      <w:r w:rsidRPr="00021660">
        <w:rPr>
          <w:rFonts w:ascii="Arial" w:hAnsi="Arial" w:cs="Arial"/>
          <w:sz w:val="16"/>
          <w:szCs w:val="16"/>
        </w:rPr>
        <w:t xml:space="preserve"> 1.1 - Certidão de Registro no Conselho Regional de Engenharia, Arquitetura e Agronomia do CREA, da empresa licitante e dos seus responsáveis técnicos, em vigor.</w:t>
      </w:r>
    </w:p>
    <w:p w14:paraId="7690F72D" w14:textId="77777777" w:rsidR="00021660" w:rsidRPr="00021660" w:rsidRDefault="00021660" w:rsidP="00021660">
      <w:pPr>
        <w:rPr>
          <w:rFonts w:ascii="Arial" w:hAnsi="Arial" w:cs="Arial"/>
          <w:sz w:val="16"/>
          <w:szCs w:val="16"/>
        </w:rPr>
      </w:pPr>
      <w:r w:rsidRPr="00021660">
        <w:rPr>
          <w:rFonts w:ascii="Arial" w:hAnsi="Arial" w:cs="Arial"/>
          <w:sz w:val="16"/>
          <w:szCs w:val="16"/>
        </w:rPr>
        <w:t>1.2 - Comprovação de capacidade técnico-operacional da empresa para a realização do objeto da presente licitação, através de atestados técnicos em nome do(s) responsável(</w:t>
      </w:r>
      <w:proofErr w:type="spellStart"/>
      <w:r w:rsidRPr="00021660">
        <w:rPr>
          <w:rFonts w:ascii="Arial" w:hAnsi="Arial" w:cs="Arial"/>
          <w:sz w:val="16"/>
          <w:szCs w:val="16"/>
        </w:rPr>
        <w:t>is</w:t>
      </w:r>
      <w:proofErr w:type="spellEnd"/>
      <w:r w:rsidRPr="00021660">
        <w:rPr>
          <w:rFonts w:ascii="Arial" w:hAnsi="Arial" w:cs="Arial"/>
          <w:sz w:val="16"/>
          <w:szCs w:val="16"/>
        </w:rPr>
        <w:t>) técnico(s) da empresa (engenheiro(s) eletricista(s)), integrante(s) permanente(s) do quadro da licitante, emitidos por pessoa jurídica de direito público ou privado, acompanhado da certidão de acervo técnico emitida pelo CREA, atestando que o(s) referido(s) profissional(</w:t>
      </w:r>
      <w:proofErr w:type="spellStart"/>
      <w:r w:rsidRPr="00021660">
        <w:rPr>
          <w:rFonts w:ascii="Arial" w:hAnsi="Arial" w:cs="Arial"/>
          <w:sz w:val="16"/>
          <w:szCs w:val="16"/>
        </w:rPr>
        <w:t>is</w:t>
      </w:r>
      <w:proofErr w:type="spellEnd"/>
      <w:r w:rsidRPr="00021660">
        <w:rPr>
          <w:rFonts w:ascii="Arial" w:hAnsi="Arial" w:cs="Arial"/>
          <w:sz w:val="16"/>
          <w:szCs w:val="16"/>
        </w:rPr>
        <w:t>) tenha(m) executado serviços e/ou obras similares, com a complexidade tecnológica e operacional equivalente ou superior, pertinente e compatível com o objeto da presente licitação, cujas parcelas de maior relevância estão descritas a seguir:</w:t>
      </w:r>
    </w:p>
    <w:p w14:paraId="4721E2CC" w14:textId="03B683F6" w:rsidR="00021660" w:rsidRDefault="00021660" w:rsidP="00021660">
      <w:pPr>
        <w:rPr>
          <w:rFonts w:ascii="Arial" w:hAnsi="Arial" w:cs="Arial"/>
          <w:sz w:val="16"/>
          <w:szCs w:val="16"/>
        </w:rPr>
      </w:pPr>
      <w:r w:rsidRPr="00021660">
        <w:rPr>
          <w:rFonts w:ascii="Arial" w:hAnsi="Arial" w:cs="Arial"/>
          <w:sz w:val="16"/>
          <w:szCs w:val="16"/>
        </w:rPr>
        <w:t xml:space="preserve">1.2.1 - Execução de serviços de </w:t>
      </w:r>
      <w:r>
        <w:rPr>
          <w:rFonts w:ascii="Arial" w:hAnsi="Arial" w:cs="Arial"/>
          <w:sz w:val="16"/>
          <w:szCs w:val="16"/>
        </w:rPr>
        <w:t>instalação</w:t>
      </w:r>
      <w:r w:rsidRPr="00021660">
        <w:rPr>
          <w:rFonts w:ascii="Arial" w:hAnsi="Arial" w:cs="Arial"/>
          <w:sz w:val="16"/>
          <w:szCs w:val="16"/>
        </w:rPr>
        <w:t xml:space="preserve"> de rede de iluminação pública em vias de grande circulação e tráfego (vias arteriais), vias de médio porte e em locais de difícil acesso e alta periculosidade, como comunidades, vilas, alamedas e servidões constituídas de escadarias</w:t>
      </w:r>
      <w:r w:rsidR="009D0113">
        <w:rPr>
          <w:rFonts w:ascii="Arial" w:hAnsi="Arial" w:cs="Arial"/>
          <w:sz w:val="16"/>
          <w:szCs w:val="16"/>
        </w:rPr>
        <w:t>, compreendendo a implantação de postes, lançamento de cabos aéreos, instalação de luminárias LED</w:t>
      </w:r>
      <w:r w:rsidRPr="00021660">
        <w:rPr>
          <w:rFonts w:ascii="Arial" w:hAnsi="Arial" w:cs="Arial"/>
          <w:sz w:val="16"/>
          <w:szCs w:val="16"/>
        </w:rPr>
        <w:t>;</w:t>
      </w:r>
    </w:p>
    <w:p w14:paraId="13C7D6E0" w14:textId="4971342B" w:rsidR="009D0113" w:rsidRDefault="009D0113" w:rsidP="00021660">
      <w:pPr>
        <w:rPr>
          <w:rFonts w:ascii="Arial" w:hAnsi="Arial" w:cs="Arial"/>
          <w:sz w:val="16"/>
          <w:szCs w:val="16"/>
        </w:rPr>
      </w:pPr>
      <w:r>
        <w:rPr>
          <w:rFonts w:ascii="Arial" w:hAnsi="Arial" w:cs="Arial"/>
          <w:sz w:val="16"/>
          <w:szCs w:val="16"/>
        </w:rPr>
        <w:t xml:space="preserve">1.2.2 – Fornecimento </w:t>
      </w:r>
      <w:r w:rsidR="001574F8">
        <w:rPr>
          <w:rFonts w:ascii="Arial" w:hAnsi="Arial" w:cs="Arial"/>
          <w:sz w:val="16"/>
          <w:szCs w:val="16"/>
        </w:rPr>
        <w:t>e instalação</w:t>
      </w:r>
      <w:r>
        <w:rPr>
          <w:rFonts w:ascii="Arial" w:hAnsi="Arial" w:cs="Arial"/>
          <w:sz w:val="16"/>
          <w:szCs w:val="16"/>
        </w:rPr>
        <w:t xml:space="preserve"> de no mínimo 8 673 luminárias LED de diversas potências, correspondente à 50% do quantitativo estimado de instalação (17.346 luminárias)</w:t>
      </w:r>
    </w:p>
    <w:p w14:paraId="47C37905" w14:textId="65BF3729" w:rsidR="009D0113" w:rsidRPr="00021660" w:rsidRDefault="009D0113" w:rsidP="00021660">
      <w:pPr>
        <w:rPr>
          <w:rFonts w:ascii="Arial" w:hAnsi="Arial" w:cs="Arial"/>
          <w:sz w:val="16"/>
          <w:szCs w:val="16"/>
        </w:rPr>
      </w:pPr>
      <w:r>
        <w:rPr>
          <w:rFonts w:ascii="Arial" w:hAnsi="Arial" w:cs="Arial"/>
          <w:sz w:val="16"/>
          <w:szCs w:val="16"/>
        </w:rPr>
        <w:t xml:space="preserve">1.2.3 – Fornecimento </w:t>
      </w:r>
      <w:r w:rsidR="001574F8">
        <w:rPr>
          <w:rFonts w:ascii="Arial" w:hAnsi="Arial" w:cs="Arial"/>
          <w:sz w:val="16"/>
          <w:szCs w:val="16"/>
        </w:rPr>
        <w:t xml:space="preserve">e </w:t>
      </w:r>
      <w:r w:rsidR="007F4B0F">
        <w:rPr>
          <w:rFonts w:ascii="Arial" w:hAnsi="Arial" w:cs="Arial"/>
          <w:sz w:val="16"/>
          <w:szCs w:val="16"/>
        </w:rPr>
        <w:t>implantação</w:t>
      </w:r>
      <w:r>
        <w:rPr>
          <w:rFonts w:ascii="Arial" w:hAnsi="Arial" w:cs="Arial"/>
          <w:sz w:val="16"/>
          <w:szCs w:val="16"/>
        </w:rPr>
        <w:t xml:space="preserve"> de no mínimo </w:t>
      </w:r>
      <w:r w:rsidR="007F4B0F">
        <w:rPr>
          <w:rFonts w:ascii="Arial" w:hAnsi="Arial" w:cs="Arial"/>
          <w:sz w:val="16"/>
          <w:szCs w:val="16"/>
        </w:rPr>
        <w:t>711 postes de div</w:t>
      </w:r>
      <w:r w:rsidR="001574F8">
        <w:rPr>
          <w:rFonts w:ascii="Arial" w:hAnsi="Arial" w:cs="Arial"/>
          <w:sz w:val="16"/>
          <w:szCs w:val="16"/>
        </w:rPr>
        <w:t xml:space="preserve">ersos </w:t>
      </w:r>
      <w:r w:rsidR="007F4B0F">
        <w:rPr>
          <w:rFonts w:ascii="Arial" w:hAnsi="Arial" w:cs="Arial"/>
          <w:sz w:val="16"/>
          <w:szCs w:val="16"/>
        </w:rPr>
        <w:t>tipos e tamanhos</w:t>
      </w:r>
      <w:r>
        <w:rPr>
          <w:rFonts w:ascii="Arial" w:hAnsi="Arial" w:cs="Arial"/>
          <w:sz w:val="16"/>
          <w:szCs w:val="16"/>
        </w:rPr>
        <w:t xml:space="preserve">, correspondente à 50% do quantitativo estimado de </w:t>
      </w:r>
      <w:r w:rsidR="007F4B0F">
        <w:rPr>
          <w:rFonts w:ascii="Arial" w:hAnsi="Arial" w:cs="Arial"/>
          <w:sz w:val="16"/>
          <w:szCs w:val="16"/>
        </w:rPr>
        <w:t>implantação</w:t>
      </w:r>
      <w:r>
        <w:rPr>
          <w:rFonts w:ascii="Arial" w:hAnsi="Arial" w:cs="Arial"/>
          <w:sz w:val="16"/>
          <w:szCs w:val="16"/>
        </w:rPr>
        <w:t xml:space="preserve"> (</w:t>
      </w:r>
      <w:r w:rsidR="007F4B0F">
        <w:rPr>
          <w:rFonts w:ascii="Arial" w:hAnsi="Arial" w:cs="Arial"/>
          <w:sz w:val="16"/>
          <w:szCs w:val="16"/>
        </w:rPr>
        <w:t>1423 postes</w:t>
      </w:r>
      <w:r w:rsidR="001574F8">
        <w:rPr>
          <w:rFonts w:ascii="Arial" w:hAnsi="Arial" w:cs="Arial"/>
          <w:sz w:val="16"/>
          <w:szCs w:val="16"/>
        </w:rPr>
        <w:t>)</w:t>
      </w:r>
    </w:p>
    <w:p w14:paraId="23DAF170" w14:textId="7FAD442D" w:rsidR="008E61F3" w:rsidRDefault="008E61F3" w:rsidP="008E61F3">
      <w:pPr>
        <w:autoSpaceDE w:val="0"/>
        <w:autoSpaceDN w:val="0"/>
        <w:adjustRightInd w:val="0"/>
        <w:spacing w:after="277" w:line="240" w:lineRule="auto"/>
        <w:rPr>
          <w:rFonts w:ascii="Arial" w:hAnsi="Arial" w:cs="Arial"/>
          <w:sz w:val="16"/>
          <w:szCs w:val="16"/>
        </w:rPr>
      </w:pPr>
      <w:r w:rsidRPr="008E61F3">
        <w:rPr>
          <w:rFonts w:ascii="Arial" w:hAnsi="Arial" w:cs="Arial"/>
          <w:sz w:val="16"/>
          <w:szCs w:val="16"/>
        </w:rPr>
        <w:t xml:space="preserve">16. Estabeleça no Edital que a ORDEM DE SERVIÇO, exigida no item 17.2.1 do edital, será emitida pelo contratante com a identificação e assinatura de responsável técnico, preferencialmente acompanhada de termo de responsabilidade técnica (ART ou RRT), precedendo cada serviço ou etapa, acompanhada de projeto ou croquis específico, onde se especifique, dimensione com respectiva memória de cálculo e localize cada respectivo serviço, sendo que nas medições dos serviços para pagamento será indicado o nome/número de cada ordem de serviço que consolide os itens medidos, a qual será incluída no conjunto de elementos administrativos da obra. </w:t>
      </w:r>
    </w:p>
    <w:p w14:paraId="42C69F51" w14:textId="28AEDA06" w:rsidR="001574F8" w:rsidRPr="00423DB4" w:rsidRDefault="001574F8" w:rsidP="001574F8">
      <w:pPr>
        <w:pStyle w:val="Default"/>
        <w:spacing w:after="280"/>
        <w:rPr>
          <w:b/>
          <w:bCs/>
          <w:color w:val="auto"/>
          <w:sz w:val="16"/>
          <w:szCs w:val="16"/>
        </w:rPr>
      </w:pPr>
      <w:r w:rsidRPr="00423DB4">
        <w:rPr>
          <w:b/>
          <w:bCs/>
          <w:color w:val="auto"/>
          <w:sz w:val="16"/>
          <w:szCs w:val="16"/>
        </w:rPr>
        <w:t>RESPOSTA:</w:t>
      </w:r>
      <w:r w:rsidR="00423DB4">
        <w:rPr>
          <w:b/>
          <w:bCs/>
          <w:color w:val="auto"/>
          <w:sz w:val="16"/>
          <w:szCs w:val="16"/>
        </w:rPr>
        <w:t xml:space="preserve"> Conforme errata elaborada em anexo, foi alterada a redação do item 17.2.1, sendo incluídos os itens 17.2.1, 17.2.1.2 e 17.2.1.3, em cumprimento ao item em questão. </w:t>
      </w:r>
    </w:p>
    <w:p w14:paraId="216D12FB" w14:textId="6A2395CE" w:rsidR="008E61F3" w:rsidRDefault="008E61F3" w:rsidP="008E61F3">
      <w:pPr>
        <w:autoSpaceDE w:val="0"/>
        <w:autoSpaceDN w:val="0"/>
        <w:adjustRightInd w:val="0"/>
        <w:spacing w:after="277" w:line="240" w:lineRule="auto"/>
        <w:rPr>
          <w:rFonts w:ascii="Arial" w:hAnsi="Arial" w:cs="Arial"/>
          <w:sz w:val="16"/>
          <w:szCs w:val="16"/>
        </w:rPr>
      </w:pPr>
      <w:r w:rsidRPr="008E61F3">
        <w:rPr>
          <w:rFonts w:ascii="Arial" w:hAnsi="Arial" w:cs="Arial"/>
          <w:sz w:val="16"/>
          <w:szCs w:val="16"/>
        </w:rPr>
        <w:t xml:space="preserve">17. Complemente a redação do item 17.2.1 do Edital com a necessidade de que a medição seja acompanhada de registro fotográfico correspondente, da situação antes e após a realização do serviço. </w:t>
      </w:r>
    </w:p>
    <w:p w14:paraId="136DDC47" w14:textId="5885FBFA" w:rsidR="001574F8" w:rsidRPr="00521151" w:rsidRDefault="001574F8" w:rsidP="00521151">
      <w:pPr>
        <w:pStyle w:val="Default"/>
        <w:spacing w:after="280"/>
        <w:rPr>
          <w:b/>
          <w:bCs/>
          <w:color w:val="auto"/>
          <w:sz w:val="16"/>
          <w:szCs w:val="16"/>
        </w:rPr>
      </w:pPr>
      <w:r w:rsidRPr="00521151">
        <w:rPr>
          <w:b/>
          <w:bCs/>
          <w:color w:val="auto"/>
          <w:sz w:val="16"/>
          <w:szCs w:val="16"/>
        </w:rPr>
        <w:t>RESPOSTA:</w:t>
      </w:r>
      <w:r w:rsidR="00521151">
        <w:rPr>
          <w:b/>
          <w:bCs/>
          <w:color w:val="auto"/>
          <w:sz w:val="16"/>
          <w:szCs w:val="16"/>
        </w:rPr>
        <w:t xml:space="preserve"> </w:t>
      </w:r>
      <w:r w:rsidR="00521151">
        <w:rPr>
          <w:b/>
          <w:bCs/>
          <w:color w:val="auto"/>
          <w:sz w:val="16"/>
          <w:szCs w:val="16"/>
        </w:rPr>
        <w:t>Conforme errata elaborada em anexo, foi alterada a redação do item 17.2.1</w:t>
      </w:r>
      <w:r w:rsidR="00521151">
        <w:rPr>
          <w:b/>
          <w:bCs/>
          <w:color w:val="auto"/>
          <w:sz w:val="16"/>
          <w:szCs w:val="16"/>
        </w:rPr>
        <w:t xml:space="preserve"> e incluído o item 17.2.1.1, </w:t>
      </w:r>
      <w:r w:rsidR="00521151">
        <w:rPr>
          <w:b/>
          <w:bCs/>
          <w:color w:val="auto"/>
          <w:sz w:val="16"/>
          <w:szCs w:val="16"/>
        </w:rPr>
        <w:t>em cumprimento ao item em questão.</w:t>
      </w:r>
    </w:p>
    <w:p w14:paraId="3D5B6195" w14:textId="32AC9F20" w:rsidR="008E61F3" w:rsidRDefault="008E61F3" w:rsidP="001574F8">
      <w:pPr>
        <w:autoSpaceDE w:val="0"/>
        <w:autoSpaceDN w:val="0"/>
        <w:adjustRightInd w:val="0"/>
        <w:spacing w:after="0" w:line="240" w:lineRule="auto"/>
        <w:rPr>
          <w:rFonts w:ascii="Arial" w:hAnsi="Arial" w:cs="Arial"/>
          <w:sz w:val="16"/>
          <w:szCs w:val="16"/>
        </w:rPr>
      </w:pPr>
      <w:r w:rsidRPr="008E61F3">
        <w:rPr>
          <w:rFonts w:ascii="Arial" w:hAnsi="Arial" w:cs="Arial"/>
          <w:sz w:val="16"/>
          <w:szCs w:val="16"/>
        </w:rPr>
        <w:t xml:space="preserve">18. Inclua no Edital a determinação de que a medição do item de ADMINISTRAÇÃO LOCAL será </w:t>
      </w:r>
      <w:proofErr w:type="gramStart"/>
      <w:r w:rsidRPr="008E61F3">
        <w:rPr>
          <w:rFonts w:ascii="Arial" w:hAnsi="Arial" w:cs="Arial"/>
          <w:sz w:val="16"/>
          <w:szCs w:val="16"/>
        </w:rPr>
        <w:t>pago</w:t>
      </w:r>
      <w:proofErr w:type="gramEnd"/>
      <w:r w:rsidRPr="008E61F3">
        <w:rPr>
          <w:rFonts w:ascii="Arial" w:hAnsi="Arial" w:cs="Arial"/>
          <w:sz w:val="16"/>
          <w:szCs w:val="16"/>
        </w:rPr>
        <w:t xml:space="preserve"> na proporção do percentual da execução das obras, conforme orientação atual em Nota do Boletim EMOP, abstendo-se de utilizar critério de pagamento para este item como um valor mensal fixo, evitando-se, assim, desembolsos indevidos de administração local, em virtude de atrasos ou de prorrogações, injustificadas do prazo de execução contratual. </w:t>
      </w:r>
    </w:p>
    <w:p w14:paraId="23616731" w14:textId="6AC09119" w:rsidR="00F5254A" w:rsidRPr="00F5254A" w:rsidRDefault="00F5254A" w:rsidP="001574F8">
      <w:pPr>
        <w:autoSpaceDE w:val="0"/>
        <w:autoSpaceDN w:val="0"/>
        <w:adjustRightInd w:val="0"/>
        <w:spacing w:after="0" w:line="240" w:lineRule="auto"/>
        <w:rPr>
          <w:rFonts w:ascii="Arial" w:hAnsi="Arial" w:cs="Arial"/>
          <w:b/>
          <w:sz w:val="16"/>
          <w:szCs w:val="16"/>
        </w:rPr>
      </w:pPr>
    </w:p>
    <w:p w14:paraId="788B652A" w14:textId="084856BB" w:rsidR="00F5254A" w:rsidRPr="00F5254A" w:rsidRDefault="00F5254A" w:rsidP="00F5254A">
      <w:pPr>
        <w:pStyle w:val="Default"/>
        <w:spacing w:after="280"/>
        <w:rPr>
          <w:b/>
          <w:sz w:val="16"/>
          <w:szCs w:val="16"/>
        </w:rPr>
      </w:pPr>
      <w:r w:rsidRPr="00F5254A">
        <w:rPr>
          <w:b/>
          <w:sz w:val="16"/>
          <w:szCs w:val="16"/>
        </w:rPr>
        <w:t xml:space="preserve">RESPOSTA: </w:t>
      </w:r>
      <w:r>
        <w:rPr>
          <w:b/>
          <w:sz w:val="16"/>
          <w:szCs w:val="16"/>
        </w:rPr>
        <w:t>Conforme errata elaborada</w:t>
      </w:r>
      <w:r>
        <w:rPr>
          <w:b/>
          <w:bCs/>
          <w:color w:val="auto"/>
          <w:sz w:val="16"/>
          <w:szCs w:val="16"/>
        </w:rPr>
        <w:t>, foi alterada a redação do item 17.2.1 e incluído o item 17.2.1.</w:t>
      </w:r>
      <w:r>
        <w:rPr>
          <w:b/>
          <w:bCs/>
          <w:color w:val="auto"/>
          <w:sz w:val="16"/>
          <w:szCs w:val="16"/>
        </w:rPr>
        <w:t>2</w:t>
      </w:r>
      <w:r>
        <w:rPr>
          <w:b/>
          <w:bCs/>
          <w:color w:val="auto"/>
          <w:sz w:val="16"/>
          <w:szCs w:val="16"/>
        </w:rPr>
        <w:t>, em cumprimento ao item em questão.</w:t>
      </w:r>
    </w:p>
    <w:p w14:paraId="3C7369BF" w14:textId="77777777" w:rsidR="00F5254A" w:rsidRPr="008E61F3" w:rsidRDefault="00F5254A" w:rsidP="001574F8">
      <w:pPr>
        <w:autoSpaceDE w:val="0"/>
        <w:autoSpaceDN w:val="0"/>
        <w:adjustRightInd w:val="0"/>
        <w:spacing w:after="0" w:line="240" w:lineRule="auto"/>
        <w:rPr>
          <w:rFonts w:ascii="Arial" w:hAnsi="Arial" w:cs="Arial"/>
          <w:sz w:val="16"/>
          <w:szCs w:val="16"/>
        </w:rPr>
      </w:pPr>
    </w:p>
    <w:p w14:paraId="75BB60C6" w14:textId="1D39C12D" w:rsidR="008E61F3"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 xml:space="preserve">19. Inclua no Edital a determinação de que, caso haja necessidade de acréscimo do item de ADMINISTRAÇÃO LOCAL durante a execução contratual, seu valor não poderá ultrapassar a mesma relação percentual, entre o valor do referido item e o valor total contratado. </w:t>
      </w:r>
    </w:p>
    <w:p w14:paraId="760EDD86" w14:textId="16712EF3" w:rsidR="00521151" w:rsidRPr="00521151" w:rsidRDefault="001574F8" w:rsidP="00521151">
      <w:pPr>
        <w:pStyle w:val="Default"/>
        <w:spacing w:after="280"/>
        <w:rPr>
          <w:b/>
          <w:bCs/>
          <w:color w:val="auto"/>
          <w:sz w:val="16"/>
          <w:szCs w:val="16"/>
        </w:rPr>
      </w:pPr>
      <w:r w:rsidRPr="00521151">
        <w:rPr>
          <w:b/>
          <w:bCs/>
          <w:color w:val="auto"/>
          <w:sz w:val="16"/>
          <w:szCs w:val="16"/>
        </w:rPr>
        <w:t>RESPOSTA:</w:t>
      </w:r>
      <w:r w:rsidR="00521151">
        <w:rPr>
          <w:b/>
          <w:bCs/>
          <w:color w:val="auto"/>
          <w:sz w:val="16"/>
          <w:szCs w:val="16"/>
        </w:rPr>
        <w:t xml:space="preserve"> </w:t>
      </w:r>
      <w:r w:rsidR="00521151">
        <w:rPr>
          <w:b/>
          <w:bCs/>
          <w:color w:val="auto"/>
          <w:sz w:val="16"/>
          <w:szCs w:val="16"/>
        </w:rPr>
        <w:t>Conforme errata elaborada em anexo, foi alterada a redação do item 17.2.1 e incluído o item 17.2.1</w:t>
      </w:r>
      <w:r w:rsidR="00157DE0">
        <w:rPr>
          <w:b/>
          <w:bCs/>
          <w:color w:val="auto"/>
          <w:sz w:val="16"/>
          <w:szCs w:val="16"/>
        </w:rPr>
        <w:t>.3</w:t>
      </w:r>
      <w:r w:rsidR="00521151">
        <w:rPr>
          <w:b/>
          <w:bCs/>
          <w:color w:val="auto"/>
          <w:sz w:val="16"/>
          <w:szCs w:val="16"/>
        </w:rPr>
        <w:t>, em cumprimento ao item em questão.</w:t>
      </w:r>
    </w:p>
    <w:p w14:paraId="4BB4A59A" w14:textId="77777777" w:rsidR="001574F8" w:rsidRDefault="001574F8" w:rsidP="008E61F3">
      <w:pPr>
        <w:autoSpaceDE w:val="0"/>
        <w:autoSpaceDN w:val="0"/>
        <w:adjustRightInd w:val="0"/>
        <w:spacing w:after="280" w:line="240" w:lineRule="auto"/>
        <w:rPr>
          <w:rFonts w:ascii="Arial" w:hAnsi="Arial" w:cs="Arial"/>
          <w:sz w:val="16"/>
          <w:szCs w:val="16"/>
        </w:rPr>
      </w:pPr>
    </w:p>
    <w:p w14:paraId="6303F106" w14:textId="77777777" w:rsidR="001574F8" w:rsidRPr="008E61F3" w:rsidRDefault="001574F8" w:rsidP="008E61F3">
      <w:pPr>
        <w:autoSpaceDE w:val="0"/>
        <w:autoSpaceDN w:val="0"/>
        <w:adjustRightInd w:val="0"/>
        <w:spacing w:after="280" w:line="240" w:lineRule="auto"/>
        <w:rPr>
          <w:rFonts w:ascii="Arial" w:hAnsi="Arial" w:cs="Arial"/>
          <w:sz w:val="16"/>
          <w:szCs w:val="16"/>
        </w:rPr>
      </w:pPr>
    </w:p>
    <w:p w14:paraId="307C8F5B" w14:textId="66D11B6F" w:rsidR="008E61F3"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 xml:space="preserve">20. Informe se a intervenção está contemplada nas metas do PPA para justificar um investimento que não ficará adstrito à vigência dos créditos orçamentários repercutindo e impactando orçamentos futuros, conforme estabelece art. 57 da Lei nº 8.666/93 e art. 165 da CF-88. </w:t>
      </w:r>
    </w:p>
    <w:p w14:paraId="52236A9B" w14:textId="473F9490" w:rsidR="00521151" w:rsidRDefault="001574F8" w:rsidP="001574F8">
      <w:pPr>
        <w:pStyle w:val="Default"/>
        <w:spacing w:after="280"/>
        <w:rPr>
          <w:b/>
          <w:bCs/>
          <w:color w:val="auto"/>
          <w:sz w:val="16"/>
          <w:szCs w:val="16"/>
        </w:rPr>
      </w:pPr>
      <w:r w:rsidRPr="00521151">
        <w:rPr>
          <w:b/>
          <w:bCs/>
          <w:color w:val="auto"/>
          <w:sz w:val="16"/>
          <w:szCs w:val="16"/>
        </w:rPr>
        <w:t>RESPOSTA:</w:t>
      </w:r>
      <w:r w:rsidR="00521151">
        <w:rPr>
          <w:b/>
          <w:bCs/>
          <w:color w:val="auto"/>
          <w:sz w:val="16"/>
          <w:szCs w:val="16"/>
        </w:rPr>
        <w:t xml:space="preserve"> Encaminhamos cópia da resposta da Secretaria de Serviços, Segurança e Ordem Pública, que transcrevemos abaixo: </w:t>
      </w:r>
    </w:p>
    <w:p w14:paraId="733B9A66" w14:textId="77777777" w:rsidR="00521151" w:rsidRPr="00521151" w:rsidRDefault="00521151" w:rsidP="00521151">
      <w:pPr>
        <w:shd w:val="clear" w:color="auto" w:fill="FFFFFF"/>
        <w:spacing w:after="0" w:line="240" w:lineRule="auto"/>
        <w:jc w:val="both"/>
        <w:rPr>
          <w:rFonts w:ascii="Arial" w:eastAsia="Times New Roman" w:hAnsi="Arial" w:cs="Arial"/>
          <w:color w:val="000000"/>
          <w:sz w:val="16"/>
          <w:szCs w:val="16"/>
          <w:lang w:eastAsia="pt-BR"/>
        </w:rPr>
      </w:pPr>
      <w:r w:rsidRPr="00521151">
        <w:rPr>
          <w:rFonts w:ascii="Arial" w:eastAsia="Times New Roman" w:hAnsi="Arial" w:cs="Arial"/>
          <w:color w:val="000000"/>
          <w:sz w:val="16"/>
          <w:szCs w:val="16"/>
          <w:lang w:eastAsia="pt-BR"/>
        </w:rPr>
        <w:t>"A SSOP será a responsável por toda a gestão dos cemitérios municipais, envolvendo a operação, manutenção, exploração e expansão dos serviços públicos dos cemitérios públicos do município. Aliada ao auxílio da CPTRANS, serão realizados serviços de adequação do espaço urbano, envolvendo a sinalização viária, fiscalização e controle de trânsito e transporte, realização de projetos viários e estudos técnicos de trânsito e transporte coletivo.</w:t>
      </w:r>
    </w:p>
    <w:p w14:paraId="509F3291" w14:textId="77777777" w:rsidR="00521151" w:rsidRPr="00521151" w:rsidRDefault="00521151" w:rsidP="00521151">
      <w:pPr>
        <w:shd w:val="clear" w:color="auto" w:fill="FFFFFF"/>
        <w:spacing w:after="0" w:line="240" w:lineRule="auto"/>
        <w:jc w:val="both"/>
        <w:rPr>
          <w:rFonts w:ascii="Arial" w:eastAsia="Times New Roman" w:hAnsi="Arial" w:cs="Arial"/>
          <w:color w:val="000000"/>
          <w:sz w:val="16"/>
          <w:szCs w:val="16"/>
          <w:lang w:eastAsia="pt-BR"/>
        </w:rPr>
      </w:pPr>
      <w:r w:rsidRPr="00521151">
        <w:rPr>
          <w:rFonts w:ascii="Arial" w:eastAsia="Times New Roman" w:hAnsi="Arial" w:cs="Arial"/>
          <w:color w:val="000000"/>
          <w:sz w:val="16"/>
          <w:szCs w:val="16"/>
          <w:lang w:eastAsia="pt-BR"/>
        </w:rPr>
        <w:t>É parte integrante fundamental dos serviços públicos urbanos, a Iluminação pública. Esta ganha espaço neste programa temático, com ações de aperfeiçoamento e ampliação da rede em vias urbanas e rurais, praças e parques municipais, além de buscar alternativas ecológicas e sustentáveis, visando à economicidade através de fontes naturais de energia, aliado ao programa de eficiência energética a ser desenvolvido pela Secretaria de Desenvolvimento Econômico."</w:t>
      </w:r>
    </w:p>
    <w:p w14:paraId="0663B3BB" w14:textId="77777777" w:rsidR="00521151" w:rsidRPr="00521151" w:rsidRDefault="00521151" w:rsidP="00521151">
      <w:pPr>
        <w:shd w:val="clear" w:color="auto" w:fill="FFFFFF"/>
        <w:spacing w:after="0" w:line="240" w:lineRule="auto"/>
        <w:jc w:val="both"/>
        <w:rPr>
          <w:rFonts w:ascii="Arial" w:eastAsia="Times New Roman" w:hAnsi="Arial" w:cs="Arial"/>
          <w:color w:val="000000"/>
          <w:sz w:val="16"/>
          <w:szCs w:val="16"/>
          <w:lang w:eastAsia="pt-BR"/>
        </w:rPr>
      </w:pPr>
    </w:p>
    <w:p w14:paraId="39F2B240" w14:textId="77777777" w:rsidR="00521151" w:rsidRPr="00521151" w:rsidRDefault="00521151" w:rsidP="00521151">
      <w:pPr>
        <w:shd w:val="clear" w:color="auto" w:fill="FFFFFF"/>
        <w:spacing w:after="0" w:line="240" w:lineRule="auto"/>
        <w:jc w:val="both"/>
        <w:rPr>
          <w:rFonts w:ascii="Arial" w:eastAsia="Times New Roman" w:hAnsi="Arial" w:cs="Arial"/>
          <w:color w:val="000000"/>
          <w:sz w:val="16"/>
          <w:szCs w:val="16"/>
          <w:lang w:eastAsia="pt-BR"/>
        </w:rPr>
      </w:pPr>
      <w:r w:rsidRPr="00521151">
        <w:rPr>
          <w:rFonts w:ascii="Arial" w:eastAsia="Times New Roman" w:hAnsi="Arial" w:cs="Arial"/>
          <w:color w:val="000000"/>
          <w:sz w:val="16"/>
          <w:szCs w:val="16"/>
          <w:lang w:eastAsia="pt-BR"/>
        </w:rPr>
        <w:t>PPA 2018-2021 - Pagina 33</w:t>
      </w:r>
    </w:p>
    <w:p w14:paraId="1A86FFCC" w14:textId="10CE3712" w:rsidR="001574F8" w:rsidRPr="00521151" w:rsidRDefault="00521151" w:rsidP="001574F8">
      <w:pPr>
        <w:pStyle w:val="Default"/>
        <w:spacing w:after="280"/>
        <w:rPr>
          <w:b/>
          <w:bCs/>
          <w:color w:val="auto"/>
          <w:sz w:val="16"/>
          <w:szCs w:val="16"/>
        </w:rPr>
      </w:pPr>
      <w:r>
        <w:rPr>
          <w:b/>
          <w:bCs/>
          <w:color w:val="auto"/>
          <w:sz w:val="16"/>
          <w:szCs w:val="16"/>
        </w:rPr>
        <w:t xml:space="preserve"> </w:t>
      </w:r>
    </w:p>
    <w:p w14:paraId="3594609D" w14:textId="25941194" w:rsidR="008E61F3"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 xml:space="preserve">21. Retifique a redação dos subitens 3.1, 3.2, 3.9 e outros do Edital de forma a esclarecer que a apresentação de documento com firma reconhecida ou cópia autenticada somente será exigida em caso de fundada dúvida sobre as cópias comuns apresentadas pelo licitante. </w:t>
      </w:r>
    </w:p>
    <w:p w14:paraId="29CA3A96" w14:textId="41802ED2" w:rsidR="001574F8" w:rsidRPr="00AC07C1" w:rsidRDefault="001574F8" w:rsidP="001574F8">
      <w:pPr>
        <w:pStyle w:val="Default"/>
        <w:spacing w:after="280"/>
        <w:rPr>
          <w:b/>
          <w:bCs/>
          <w:color w:val="auto"/>
          <w:sz w:val="16"/>
          <w:szCs w:val="16"/>
        </w:rPr>
      </w:pPr>
      <w:r w:rsidRPr="00AC07C1">
        <w:rPr>
          <w:b/>
          <w:bCs/>
          <w:color w:val="auto"/>
          <w:sz w:val="16"/>
          <w:szCs w:val="16"/>
        </w:rPr>
        <w:t>RESPOSTA:</w:t>
      </w:r>
      <w:r w:rsidR="00AC07C1">
        <w:rPr>
          <w:b/>
          <w:bCs/>
          <w:color w:val="auto"/>
          <w:sz w:val="16"/>
          <w:szCs w:val="16"/>
        </w:rPr>
        <w:t xml:space="preserve"> Conforme errata elaborada, foi alterada a redação dos itens 3.1 e 3.2 e demais itens. </w:t>
      </w:r>
    </w:p>
    <w:p w14:paraId="184B369D" w14:textId="16D5AA01" w:rsidR="008E61F3"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 xml:space="preserve">22. Retifique a redação dos subitens que tratam da qualificação técnica para fins de habilitação nesta licitação (7.1.1.6.a, b e c) de forma a consignar que tanto a qualificação técnico- operacional quanto a profissional devem estar vinculadas às parcelas de maior relevância a serem definidas no próprio edital, conforme dispõe o inc. </w:t>
      </w:r>
      <w:proofErr w:type="gramStart"/>
      <w:r w:rsidRPr="008E61F3">
        <w:rPr>
          <w:rFonts w:ascii="Arial" w:hAnsi="Arial" w:cs="Arial"/>
          <w:sz w:val="16"/>
          <w:szCs w:val="16"/>
        </w:rPr>
        <w:t>I ,</w:t>
      </w:r>
      <w:proofErr w:type="gramEnd"/>
      <w:r w:rsidRPr="008E61F3">
        <w:rPr>
          <w:rFonts w:ascii="Arial" w:hAnsi="Arial" w:cs="Arial"/>
          <w:sz w:val="16"/>
          <w:szCs w:val="16"/>
        </w:rPr>
        <w:t xml:space="preserve"> §1º do art. 30 da Lei 8.666/93. </w:t>
      </w:r>
    </w:p>
    <w:p w14:paraId="5A3E0E2C" w14:textId="4EE06665" w:rsidR="001574F8" w:rsidRPr="001574F8" w:rsidRDefault="001574F8" w:rsidP="001574F8">
      <w:pPr>
        <w:pStyle w:val="Default"/>
        <w:spacing w:after="280"/>
        <w:rPr>
          <w:b/>
          <w:bCs/>
          <w:color w:val="FF0000"/>
          <w:sz w:val="16"/>
          <w:szCs w:val="16"/>
        </w:rPr>
      </w:pPr>
      <w:r w:rsidRPr="00AC07C1">
        <w:rPr>
          <w:b/>
          <w:bCs/>
          <w:color w:val="auto"/>
          <w:sz w:val="16"/>
          <w:szCs w:val="16"/>
        </w:rPr>
        <w:t>RESPOSTA:</w:t>
      </w:r>
      <w:r w:rsidR="00AC07C1" w:rsidRPr="00AC07C1">
        <w:rPr>
          <w:b/>
          <w:bCs/>
          <w:color w:val="auto"/>
          <w:sz w:val="16"/>
          <w:szCs w:val="16"/>
        </w:rPr>
        <w:t xml:space="preserve"> </w:t>
      </w:r>
      <w:r w:rsidR="00AC07C1">
        <w:rPr>
          <w:b/>
          <w:bCs/>
          <w:color w:val="auto"/>
          <w:sz w:val="16"/>
          <w:szCs w:val="16"/>
        </w:rPr>
        <w:t>Conforme errata elaborada, foi alterada a redação</w:t>
      </w:r>
      <w:r w:rsidR="00AC07C1">
        <w:rPr>
          <w:b/>
          <w:bCs/>
          <w:color w:val="auto"/>
          <w:sz w:val="16"/>
          <w:szCs w:val="16"/>
        </w:rPr>
        <w:t xml:space="preserve"> do item 7.1.1.6 e 7.2.1.7.</w:t>
      </w:r>
    </w:p>
    <w:p w14:paraId="187AD4C4" w14:textId="7219EF6C" w:rsidR="008E61F3"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23. Retifique a redação do subitem 7.1.1.6.d deste edital de forma a excluir a exigência de Engenheiro Eletricista, Engenheiro de Segurança no Trabalho bem como de Técnicos em Eletrônica com os respectivos “</w:t>
      </w:r>
      <w:proofErr w:type="spellStart"/>
      <w:r w:rsidRPr="008E61F3">
        <w:rPr>
          <w:rFonts w:ascii="Arial" w:hAnsi="Arial" w:cs="Arial"/>
          <w:sz w:val="16"/>
          <w:szCs w:val="16"/>
        </w:rPr>
        <w:t>curricula</w:t>
      </w:r>
      <w:proofErr w:type="spellEnd"/>
      <w:r w:rsidRPr="008E61F3">
        <w:rPr>
          <w:rFonts w:ascii="Arial" w:hAnsi="Arial" w:cs="Arial"/>
          <w:sz w:val="16"/>
          <w:szCs w:val="16"/>
        </w:rPr>
        <w:t xml:space="preserve"> vitae” da fase de qualificação, sendo adequado exigi-los apenas do licitante vencedor para fins de assinatura do contrato. </w:t>
      </w:r>
    </w:p>
    <w:p w14:paraId="571C8D73" w14:textId="7AAC3FA0" w:rsidR="001574F8" w:rsidRPr="00AC07C1" w:rsidRDefault="001574F8" w:rsidP="001574F8">
      <w:pPr>
        <w:pStyle w:val="Default"/>
        <w:spacing w:after="280"/>
        <w:rPr>
          <w:b/>
          <w:bCs/>
          <w:color w:val="auto"/>
          <w:sz w:val="16"/>
          <w:szCs w:val="16"/>
        </w:rPr>
      </w:pPr>
      <w:r w:rsidRPr="00AC07C1">
        <w:rPr>
          <w:b/>
          <w:bCs/>
          <w:color w:val="auto"/>
          <w:sz w:val="16"/>
          <w:szCs w:val="16"/>
        </w:rPr>
        <w:t>RESPOSTA:</w:t>
      </w:r>
      <w:r w:rsidR="00AC07C1">
        <w:rPr>
          <w:b/>
          <w:bCs/>
          <w:color w:val="auto"/>
          <w:sz w:val="16"/>
          <w:szCs w:val="16"/>
        </w:rPr>
        <w:t xml:space="preserve"> </w:t>
      </w:r>
      <w:r w:rsidR="00AC07C1">
        <w:rPr>
          <w:b/>
          <w:bCs/>
          <w:color w:val="auto"/>
          <w:sz w:val="16"/>
          <w:szCs w:val="16"/>
        </w:rPr>
        <w:t>Conforme errata elaborada, foi alterada a redação do item 7.1.1.6</w:t>
      </w:r>
      <w:r w:rsidR="00665E0B">
        <w:rPr>
          <w:b/>
          <w:bCs/>
          <w:color w:val="auto"/>
          <w:sz w:val="16"/>
          <w:szCs w:val="16"/>
        </w:rPr>
        <w:t>, em atendimento ao item em questão.</w:t>
      </w:r>
    </w:p>
    <w:p w14:paraId="35BE1551" w14:textId="78A09900" w:rsidR="008E61F3" w:rsidRDefault="008E61F3" w:rsidP="001574F8">
      <w:pPr>
        <w:autoSpaceDE w:val="0"/>
        <w:autoSpaceDN w:val="0"/>
        <w:adjustRightInd w:val="0"/>
        <w:spacing w:after="0" w:line="240" w:lineRule="auto"/>
        <w:rPr>
          <w:rFonts w:ascii="Arial" w:hAnsi="Arial" w:cs="Arial"/>
          <w:sz w:val="16"/>
          <w:szCs w:val="16"/>
        </w:rPr>
      </w:pPr>
      <w:r w:rsidRPr="008E61F3">
        <w:rPr>
          <w:rFonts w:ascii="Arial" w:hAnsi="Arial" w:cs="Arial"/>
          <w:sz w:val="16"/>
          <w:szCs w:val="16"/>
        </w:rPr>
        <w:t>24. Retifique a redação do subitem 7.2.1.6.c de forma a possibilitar a participação de sociedades empresárias em recuperação judicial, em observância ao princípio da preservação da empresa (art. 47, Lei nº. 11.101/05), de modo a indicar que não será causa de inabilitação de</w:t>
      </w:r>
      <w:r w:rsidR="001574F8">
        <w:rPr>
          <w:rFonts w:ascii="Arial" w:hAnsi="Arial" w:cs="Arial"/>
          <w:sz w:val="16"/>
          <w:szCs w:val="16"/>
        </w:rPr>
        <w:t xml:space="preserve"> </w:t>
      </w:r>
      <w:r w:rsidRPr="008E61F3">
        <w:rPr>
          <w:rFonts w:ascii="Arial" w:hAnsi="Arial" w:cs="Arial"/>
          <w:sz w:val="16"/>
          <w:szCs w:val="16"/>
        </w:rPr>
        <w:t xml:space="preserve">licitante a anotação de distribuição de processo de recuperação judicial ou pedido de homologação de recuperação extrajudicial, caso haja comprovação de que o plano já tenha sido aprovado/homologado pelo juízo competente quando da entrega da documentação de habilitação. </w:t>
      </w:r>
    </w:p>
    <w:p w14:paraId="441A9DD2" w14:textId="4C255A3B" w:rsidR="001574F8" w:rsidRDefault="001574F8" w:rsidP="001574F8">
      <w:pPr>
        <w:autoSpaceDE w:val="0"/>
        <w:autoSpaceDN w:val="0"/>
        <w:adjustRightInd w:val="0"/>
        <w:spacing w:after="0" w:line="240" w:lineRule="auto"/>
        <w:rPr>
          <w:rFonts w:ascii="Arial" w:hAnsi="Arial" w:cs="Arial"/>
          <w:sz w:val="16"/>
          <w:szCs w:val="16"/>
        </w:rPr>
      </w:pPr>
    </w:p>
    <w:p w14:paraId="1607FCD3" w14:textId="3C0C36A2" w:rsidR="00B85E02" w:rsidRPr="001574F8" w:rsidRDefault="001574F8" w:rsidP="001574F8">
      <w:pPr>
        <w:pStyle w:val="Default"/>
        <w:spacing w:after="280"/>
        <w:rPr>
          <w:b/>
          <w:bCs/>
          <w:color w:val="FF0000"/>
          <w:sz w:val="16"/>
          <w:szCs w:val="16"/>
        </w:rPr>
      </w:pPr>
      <w:r w:rsidRPr="00665E0B">
        <w:rPr>
          <w:b/>
          <w:bCs/>
          <w:color w:val="auto"/>
          <w:sz w:val="16"/>
          <w:szCs w:val="16"/>
        </w:rPr>
        <w:t>RESPOSTA:</w:t>
      </w:r>
      <w:r w:rsidR="00665E0B" w:rsidRPr="00665E0B">
        <w:rPr>
          <w:b/>
          <w:bCs/>
          <w:color w:val="auto"/>
          <w:sz w:val="16"/>
          <w:szCs w:val="16"/>
        </w:rPr>
        <w:t xml:space="preserve"> </w:t>
      </w:r>
      <w:r w:rsidR="00665E0B">
        <w:rPr>
          <w:b/>
          <w:bCs/>
          <w:color w:val="auto"/>
          <w:sz w:val="16"/>
          <w:szCs w:val="16"/>
        </w:rPr>
        <w:t>Conforme errata elaborada, foi alterada a redação do item 7.</w:t>
      </w:r>
      <w:r w:rsidR="00B85E02">
        <w:rPr>
          <w:b/>
          <w:bCs/>
          <w:color w:val="auto"/>
          <w:sz w:val="16"/>
          <w:szCs w:val="16"/>
        </w:rPr>
        <w:t>2</w:t>
      </w:r>
      <w:r w:rsidR="00665E0B">
        <w:rPr>
          <w:b/>
          <w:bCs/>
          <w:color w:val="auto"/>
          <w:sz w:val="16"/>
          <w:szCs w:val="16"/>
        </w:rPr>
        <w:t>.1.6</w:t>
      </w:r>
      <w:r w:rsidR="00B85E02">
        <w:rPr>
          <w:b/>
          <w:bCs/>
          <w:color w:val="auto"/>
          <w:sz w:val="16"/>
          <w:szCs w:val="16"/>
        </w:rPr>
        <w:t>.</w:t>
      </w:r>
    </w:p>
    <w:p w14:paraId="37806BAE" w14:textId="77777777" w:rsidR="001574F8"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25. Detalhe, especificando item por item, através de errata, todas as alterações efetuadas no ato convocatório se for o caso, dando a devida publicidade a mesma na forma do §4º do art. 21 da Lei Federal nº 8.666/93, encaminhando as cópias a este Tribunal.</w:t>
      </w:r>
    </w:p>
    <w:p w14:paraId="54AFD39E" w14:textId="55464C55" w:rsidR="001574F8" w:rsidRPr="003E6D9D" w:rsidRDefault="001574F8" w:rsidP="001574F8">
      <w:pPr>
        <w:pStyle w:val="Default"/>
        <w:spacing w:after="280"/>
        <w:rPr>
          <w:b/>
          <w:bCs/>
          <w:color w:val="auto"/>
          <w:sz w:val="16"/>
          <w:szCs w:val="16"/>
        </w:rPr>
      </w:pPr>
      <w:r w:rsidRPr="003E6D9D">
        <w:rPr>
          <w:b/>
          <w:bCs/>
          <w:color w:val="auto"/>
          <w:sz w:val="16"/>
          <w:szCs w:val="16"/>
        </w:rPr>
        <w:t>RESPOSTA:</w:t>
      </w:r>
      <w:r w:rsidR="003E6D9D">
        <w:rPr>
          <w:b/>
          <w:bCs/>
          <w:color w:val="auto"/>
          <w:sz w:val="16"/>
          <w:szCs w:val="16"/>
        </w:rPr>
        <w:t xml:space="preserve"> Foi elaborada errata (cópia em anexo), a qual será publicada nos mesmos jornais em que foi publicado o 1º aviso e enviada posteriormente ao TCE/</w:t>
      </w:r>
      <w:r w:rsidR="006703DD">
        <w:rPr>
          <w:b/>
          <w:bCs/>
          <w:color w:val="auto"/>
          <w:sz w:val="16"/>
          <w:szCs w:val="16"/>
        </w:rPr>
        <w:t>RJ.</w:t>
      </w:r>
      <w:r w:rsidR="003E6D9D">
        <w:rPr>
          <w:b/>
          <w:bCs/>
          <w:color w:val="auto"/>
          <w:sz w:val="16"/>
          <w:szCs w:val="16"/>
        </w:rPr>
        <w:t xml:space="preserve">  </w:t>
      </w:r>
    </w:p>
    <w:p w14:paraId="5A6194EB" w14:textId="6CD9047B" w:rsidR="008E61F3" w:rsidRDefault="008E61F3" w:rsidP="008E61F3">
      <w:pPr>
        <w:autoSpaceDE w:val="0"/>
        <w:autoSpaceDN w:val="0"/>
        <w:adjustRightInd w:val="0"/>
        <w:spacing w:after="280" w:line="240" w:lineRule="auto"/>
        <w:rPr>
          <w:rFonts w:ascii="Arial" w:hAnsi="Arial" w:cs="Arial"/>
          <w:sz w:val="16"/>
          <w:szCs w:val="16"/>
        </w:rPr>
      </w:pPr>
      <w:r w:rsidRPr="008E61F3">
        <w:rPr>
          <w:rFonts w:ascii="Arial" w:hAnsi="Arial" w:cs="Arial"/>
          <w:sz w:val="16"/>
          <w:szCs w:val="16"/>
        </w:rPr>
        <w:t xml:space="preserve">26. Envie um Edital consolidado contemplando e destacando todas as alterações efetuadas por determinação desta Corte bem como por iniciativa própria da Administração. </w:t>
      </w:r>
    </w:p>
    <w:p w14:paraId="48B0A285" w14:textId="758063F2" w:rsidR="001574F8" w:rsidRPr="003E6D9D" w:rsidRDefault="001574F8" w:rsidP="001574F8">
      <w:pPr>
        <w:pStyle w:val="Default"/>
        <w:spacing w:after="280"/>
        <w:rPr>
          <w:b/>
          <w:bCs/>
          <w:color w:val="auto"/>
          <w:sz w:val="16"/>
          <w:szCs w:val="16"/>
        </w:rPr>
      </w:pPr>
      <w:r w:rsidRPr="003E6D9D">
        <w:rPr>
          <w:b/>
          <w:bCs/>
          <w:color w:val="auto"/>
          <w:sz w:val="16"/>
          <w:szCs w:val="16"/>
        </w:rPr>
        <w:t>RESPOSTA:</w:t>
      </w:r>
      <w:r w:rsidR="003E6D9D">
        <w:rPr>
          <w:b/>
          <w:bCs/>
          <w:color w:val="auto"/>
          <w:sz w:val="16"/>
          <w:szCs w:val="16"/>
        </w:rPr>
        <w:t xml:space="preserve"> Enviamos nova minuta do edital, devidamente aprovada pela Assessoria Jurídica e Controle Interno.</w:t>
      </w:r>
    </w:p>
    <w:p w14:paraId="5C8DD852" w14:textId="77777777" w:rsidR="001574F8" w:rsidRPr="008E61F3" w:rsidRDefault="001574F8" w:rsidP="008E61F3">
      <w:pPr>
        <w:autoSpaceDE w:val="0"/>
        <w:autoSpaceDN w:val="0"/>
        <w:adjustRightInd w:val="0"/>
        <w:spacing w:after="280" w:line="240" w:lineRule="auto"/>
        <w:rPr>
          <w:rFonts w:ascii="Arial" w:hAnsi="Arial" w:cs="Arial"/>
          <w:sz w:val="16"/>
          <w:szCs w:val="16"/>
        </w:rPr>
      </w:pPr>
    </w:p>
    <w:p w14:paraId="6C9AE4DE" w14:textId="2ED1A93A" w:rsidR="008E61F3" w:rsidRDefault="008E61F3" w:rsidP="008E61F3">
      <w:pPr>
        <w:autoSpaceDE w:val="0"/>
        <w:autoSpaceDN w:val="0"/>
        <w:adjustRightInd w:val="0"/>
        <w:spacing w:after="0" w:line="240" w:lineRule="auto"/>
        <w:rPr>
          <w:rFonts w:ascii="Arial" w:hAnsi="Arial" w:cs="Arial"/>
          <w:sz w:val="16"/>
          <w:szCs w:val="16"/>
        </w:rPr>
      </w:pPr>
      <w:r w:rsidRPr="008E61F3">
        <w:rPr>
          <w:rFonts w:ascii="Arial" w:hAnsi="Arial" w:cs="Arial"/>
          <w:sz w:val="16"/>
          <w:szCs w:val="16"/>
        </w:rPr>
        <w:lastRenderedPageBreak/>
        <w:t xml:space="preserve">27. Comunique ao Tribunal eventual revogação ou anulação do procedimento licitatório em tela, remetendo, na ocasião, prova da publicação do ato respectivo, acompanhada pelos elementos arrolados no art. 49 da Lei Federal nº 8.666/93. </w:t>
      </w:r>
    </w:p>
    <w:p w14:paraId="3C55E066" w14:textId="458E8A16" w:rsidR="001574F8" w:rsidRDefault="001574F8" w:rsidP="008E61F3">
      <w:pPr>
        <w:autoSpaceDE w:val="0"/>
        <w:autoSpaceDN w:val="0"/>
        <w:adjustRightInd w:val="0"/>
        <w:spacing w:after="0" w:line="240" w:lineRule="auto"/>
        <w:rPr>
          <w:rFonts w:ascii="Arial" w:hAnsi="Arial" w:cs="Arial"/>
          <w:sz w:val="16"/>
          <w:szCs w:val="16"/>
        </w:rPr>
      </w:pPr>
    </w:p>
    <w:p w14:paraId="259F192E" w14:textId="19AB0AE0" w:rsidR="001574F8" w:rsidRDefault="001574F8" w:rsidP="001574F8">
      <w:pPr>
        <w:pStyle w:val="Default"/>
        <w:spacing w:after="280"/>
        <w:rPr>
          <w:b/>
          <w:bCs/>
          <w:color w:val="auto"/>
          <w:sz w:val="16"/>
          <w:szCs w:val="16"/>
        </w:rPr>
      </w:pPr>
      <w:r w:rsidRPr="003E6D9D">
        <w:rPr>
          <w:b/>
          <w:bCs/>
          <w:color w:val="auto"/>
          <w:sz w:val="16"/>
          <w:szCs w:val="16"/>
        </w:rPr>
        <w:t>RESPOSTA:</w:t>
      </w:r>
      <w:r w:rsidR="003E6D9D">
        <w:rPr>
          <w:b/>
          <w:bCs/>
          <w:color w:val="auto"/>
          <w:sz w:val="16"/>
          <w:szCs w:val="16"/>
        </w:rPr>
        <w:t xml:space="preserve"> A licitação não foi revogada nem anulada.</w:t>
      </w:r>
    </w:p>
    <w:p w14:paraId="51CCF3D0" w14:textId="3EB2547F" w:rsidR="007B15B4" w:rsidRDefault="007B15B4" w:rsidP="001574F8">
      <w:pPr>
        <w:pStyle w:val="Default"/>
        <w:spacing w:after="280"/>
        <w:rPr>
          <w:b/>
          <w:bCs/>
          <w:color w:val="auto"/>
          <w:sz w:val="16"/>
          <w:szCs w:val="16"/>
        </w:rPr>
      </w:pPr>
    </w:p>
    <w:p w14:paraId="5A604F1F" w14:textId="77777777" w:rsidR="007B15B4" w:rsidRPr="003E6D9D" w:rsidRDefault="007B15B4" w:rsidP="001574F8">
      <w:pPr>
        <w:pStyle w:val="Default"/>
        <w:spacing w:after="280"/>
        <w:rPr>
          <w:b/>
          <w:bCs/>
          <w:color w:val="auto"/>
          <w:sz w:val="16"/>
          <w:szCs w:val="16"/>
        </w:rPr>
      </w:pPr>
    </w:p>
    <w:p w14:paraId="08545074" w14:textId="3A8029C5" w:rsidR="001574F8" w:rsidRDefault="007B15B4" w:rsidP="007B15B4">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Edimilson Diamantino</w:t>
      </w:r>
    </w:p>
    <w:p w14:paraId="61CF40A8" w14:textId="3BC840F0" w:rsidR="007B15B4" w:rsidRDefault="007B15B4" w:rsidP="007B15B4">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Chefe da DILIC</w:t>
      </w:r>
    </w:p>
    <w:p w14:paraId="0C700784" w14:textId="40DCFBA4" w:rsidR="007B15B4" w:rsidRDefault="007B15B4" w:rsidP="007B15B4">
      <w:pPr>
        <w:autoSpaceDE w:val="0"/>
        <w:autoSpaceDN w:val="0"/>
        <w:adjustRightInd w:val="0"/>
        <w:spacing w:after="0" w:line="240" w:lineRule="auto"/>
        <w:jc w:val="center"/>
        <w:rPr>
          <w:rFonts w:ascii="Arial" w:hAnsi="Arial" w:cs="Arial"/>
          <w:sz w:val="16"/>
          <w:szCs w:val="16"/>
        </w:rPr>
      </w:pPr>
    </w:p>
    <w:p w14:paraId="78AE8E41" w14:textId="5B943EFC" w:rsidR="007B15B4" w:rsidRDefault="007B15B4" w:rsidP="007B15B4">
      <w:pPr>
        <w:autoSpaceDE w:val="0"/>
        <w:autoSpaceDN w:val="0"/>
        <w:adjustRightInd w:val="0"/>
        <w:spacing w:after="0" w:line="240" w:lineRule="auto"/>
        <w:jc w:val="center"/>
        <w:rPr>
          <w:rFonts w:ascii="Arial" w:hAnsi="Arial" w:cs="Arial"/>
          <w:sz w:val="16"/>
          <w:szCs w:val="16"/>
        </w:rPr>
      </w:pPr>
    </w:p>
    <w:p w14:paraId="61412EA0" w14:textId="77777777" w:rsidR="007B15B4" w:rsidRDefault="007B15B4" w:rsidP="007B15B4">
      <w:pPr>
        <w:autoSpaceDE w:val="0"/>
        <w:autoSpaceDN w:val="0"/>
        <w:adjustRightInd w:val="0"/>
        <w:spacing w:after="0" w:line="240" w:lineRule="auto"/>
        <w:jc w:val="center"/>
        <w:rPr>
          <w:rFonts w:ascii="Arial" w:hAnsi="Arial" w:cs="Arial"/>
          <w:sz w:val="16"/>
          <w:szCs w:val="16"/>
        </w:rPr>
      </w:pPr>
    </w:p>
    <w:p w14:paraId="77FF3FAE" w14:textId="163AE901" w:rsidR="007B15B4" w:rsidRDefault="007B15B4" w:rsidP="007B15B4">
      <w:pPr>
        <w:autoSpaceDE w:val="0"/>
        <w:autoSpaceDN w:val="0"/>
        <w:adjustRightInd w:val="0"/>
        <w:spacing w:after="0" w:line="240" w:lineRule="auto"/>
        <w:jc w:val="center"/>
        <w:rPr>
          <w:rFonts w:ascii="Arial" w:hAnsi="Arial" w:cs="Arial"/>
          <w:sz w:val="16"/>
          <w:szCs w:val="16"/>
        </w:rPr>
      </w:pPr>
    </w:p>
    <w:p w14:paraId="6D098954" w14:textId="46FE0E1F" w:rsidR="007B15B4" w:rsidRDefault="007B15B4" w:rsidP="007B15B4">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Fátima Lamas</w:t>
      </w:r>
    </w:p>
    <w:p w14:paraId="1B709388" w14:textId="29F43BE8" w:rsidR="007B15B4" w:rsidRPr="008E61F3" w:rsidRDefault="007B15B4" w:rsidP="007B15B4">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Diretora do DELCA</w:t>
      </w:r>
    </w:p>
    <w:p w14:paraId="2C296D19" w14:textId="77777777" w:rsidR="008E61F3" w:rsidRPr="000D6FE7" w:rsidRDefault="008E61F3" w:rsidP="007B15B4">
      <w:pPr>
        <w:jc w:val="center"/>
        <w:rPr>
          <w:rFonts w:ascii="Arial" w:hAnsi="Arial" w:cs="Arial"/>
          <w:sz w:val="16"/>
          <w:szCs w:val="16"/>
        </w:rPr>
      </w:pPr>
      <w:bookmarkStart w:id="0" w:name="_GoBack"/>
      <w:bookmarkEnd w:id="0"/>
    </w:p>
    <w:sectPr w:rsidR="008E61F3" w:rsidRPr="000D6FE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3A461" w14:textId="77777777" w:rsidR="009F3B67" w:rsidRDefault="009F3B67" w:rsidP="00530440">
      <w:pPr>
        <w:spacing w:after="0" w:line="240" w:lineRule="auto"/>
      </w:pPr>
      <w:r>
        <w:separator/>
      </w:r>
    </w:p>
  </w:endnote>
  <w:endnote w:type="continuationSeparator" w:id="0">
    <w:p w14:paraId="2BCC5827" w14:textId="77777777" w:rsidR="009F3B67" w:rsidRDefault="009F3B67" w:rsidP="0053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0A4E8" w14:textId="77777777" w:rsidR="009F3B67" w:rsidRDefault="009F3B67" w:rsidP="00530440">
      <w:pPr>
        <w:spacing w:after="0" w:line="240" w:lineRule="auto"/>
      </w:pPr>
      <w:r>
        <w:separator/>
      </w:r>
    </w:p>
  </w:footnote>
  <w:footnote w:type="continuationSeparator" w:id="0">
    <w:p w14:paraId="173D3A3A" w14:textId="77777777" w:rsidR="009F3B67" w:rsidRDefault="009F3B67" w:rsidP="0053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450D" w14:textId="45BDE001" w:rsidR="001574F8" w:rsidRDefault="00B61571" w:rsidP="00530440">
    <w:pPr>
      <w:autoSpaceDE w:val="0"/>
      <w:autoSpaceDN w:val="0"/>
      <w:adjustRightInd w:val="0"/>
      <w:spacing w:after="0" w:line="240" w:lineRule="auto"/>
      <w:ind w:left="851"/>
      <w:rPr>
        <w:rFonts w:ascii="Arial" w:hAnsi="Arial" w:cs="Arial"/>
        <w:b/>
        <w:bCs/>
        <w:sz w:val="24"/>
        <w:szCs w:val="24"/>
      </w:rPr>
    </w:pPr>
    <w:r>
      <w:rPr>
        <w:rFonts w:ascii="Arial" w:hAnsi="Arial" w:cs="Arial"/>
        <w:b/>
        <w:bCs/>
        <w:noProof/>
        <w:sz w:val="24"/>
        <w:szCs w:val="24"/>
      </w:rPr>
      <w:object w:dxaOrig="1440" w:dyaOrig="1440" w14:anchorId="7DF83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7pt;margin-top:-2.8pt;width:54.2pt;height:53.7pt;z-index:251658240" filled="t" stroked="t">
          <v:fill type="frame"/>
          <v:imagedata r:id="rId1" o:title=""/>
        </v:shape>
        <o:OLEObject Type="Embed" ProgID="Word.Picture.8" ShapeID="_x0000_s2049" DrawAspect="Content" ObjectID="_1640700779" r:id="rId2"/>
      </w:object>
    </w:r>
    <w:r w:rsidR="001574F8" w:rsidRPr="0029301A">
      <w:rPr>
        <w:rFonts w:ascii="Arial" w:hAnsi="Arial" w:cs="Arial"/>
        <w:b/>
        <w:bCs/>
        <w:sz w:val="24"/>
        <w:szCs w:val="24"/>
      </w:rPr>
      <w:t>PREFEITURA MUNICIP</w:t>
    </w:r>
    <w:r w:rsidR="001574F8">
      <w:rPr>
        <w:rFonts w:ascii="Arial" w:hAnsi="Arial" w:cs="Arial"/>
        <w:b/>
        <w:bCs/>
        <w:sz w:val="24"/>
        <w:szCs w:val="24"/>
      </w:rPr>
      <w:t>A</w:t>
    </w:r>
    <w:r w:rsidR="001574F8" w:rsidRPr="0029301A">
      <w:rPr>
        <w:rFonts w:ascii="Arial" w:hAnsi="Arial" w:cs="Arial"/>
        <w:b/>
        <w:bCs/>
        <w:sz w:val="24"/>
        <w:szCs w:val="24"/>
      </w:rPr>
      <w:t>L DE PETRÓPOLIS</w:t>
    </w:r>
  </w:p>
  <w:p w14:paraId="4F70E79A" w14:textId="77777777" w:rsidR="001574F8" w:rsidRDefault="001574F8" w:rsidP="00530440">
    <w:pPr>
      <w:autoSpaceDE w:val="0"/>
      <w:autoSpaceDN w:val="0"/>
      <w:adjustRightInd w:val="0"/>
      <w:spacing w:after="0" w:line="240" w:lineRule="auto"/>
      <w:ind w:left="851"/>
      <w:rPr>
        <w:rFonts w:ascii="Arial" w:hAnsi="Arial" w:cs="Arial"/>
        <w:b/>
        <w:bCs/>
        <w:sz w:val="24"/>
        <w:szCs w:val="24"/>
      </w:rPr>
    </w:pPr>
    <w:r>
      <w:rPr>
        <w:rFonts w:ascii="Arial" w:hAnsi="Arial" w:cs="Arial"/>
        <w:b/>
        <w:bCs/>
        <w:sz w:val="24"/>
        <w:szCs w:val="24"/>
      </w:rPr>
      <w:t>SECRETARIA DE SEGURANÇA, SERVIÇOES E ORDEM PÚBLICA</w:t>
    </w:r>
  </w:p>
  <w:p w14:paraId="3971DDA8" w14:textId="77777777" w:rsidR="001574F8" w:rsidRDefault="001574F8" w:rsidP="00530440">
    <w:pPr>
      <w:autoSpaceDE w:val="0"/>
      <w:autoSpaceDN w:val="0"/>
      <w:adjustRightInd w:val="0"/>
      <w:spacing w:after="0" w:line="240" w:lineRule="auto"/>
      <w:ind w:left="851"/>
      <w:rPr>
        <w:rFonts w:ascii="Arial" w:hAnsi="Arial" w:cs="Arial"/>
        <w:b/>
        <w:bCs/>
        <w:sz w:val="24"/>
        <w:szCs w:val="24"/>
      </w:rPr>
    </w:pPr>
    <w:r>
      <w:rPr>
        <w:rFonts w:ascii="Arial" w:hAnsi="Arial" w:cs="Arial"/>
        <w:b/>
        <w:bCs/>
        <w:sz w:val="24"/>
        <w:szCs w:val="24"/>
      </w:rPr>
      <w:t xml:space="preserve">DEPARTAMENTO DE ILUMINAÇÃO PÚBLICA </w:t>
    </w:r>
  </w:p>
  <w:p w14:paraId="60514049" w14:textId="77777777" w:rsidR="001574F8" w:rsidRDefault="001574F8" w:rsidP="0053044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94A25"/>
    <w:multiLevelType w:val="hybridMultilevel"/>
    <w:tmpl w:val="8DEAD50E"/>
    <w:lvl w:ilvl="0" w:tplc="AEE050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377FA5"/>
    <w:multiLevelType w:val="hybridMultilevel"/>
    <w:tmpl w:val="170A5288"/>
    <w:lvl w:ilvl="0" w:tplc="C764BC9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5FF20527"/>
    <w:multiLevelType w:val="multilevel"/>
    <w:tmpl w:val="810C49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0036A3A"/>
    <w:multiLevelType w:val="hybridMultilevel"/>
    <w:tmpl w:val="69D0E85E"/>
    <w:lvl w:ilvl="0" w:tplc="E3FA81C2">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0A"/>
    <w:rsid w:val="00021660"/>
    <w:rsid w:val="00053B43"/>
    <w:rsid w:val="000638DE"/>
    <w:rsid w:val="000B32BC"/>
    <w:rsid w:val="000C41B0"/>
    <w:rsid w:val="000D2D15"/>
    <w:rsid w:val="000D6FE7"/>
    <w:rsid w:val="001574F8"/>
    <w:rsid w:val="00157DE0"/>
    <w:rsid w:val="00166D5F"/>
    <w:rsid w:val="00167B0A"/>
    <w:rsid w:val="00185018"/>
    <w:rsid w:val="00214DFE"/>
    <w:rsid w:val="0026094C"/>
    <w:rsid w:val="003361EE"/>
    <w:rsid w:val="003550F9"/>
    <w:rsid w:val="00384658"/>
    <w:rsid w:val="003924CE"/>
    <w:rsid w:val="003E6D9D"/>
    <w:rsid w:val="00423DB4"/>
    <w:rsid w:val="004424AA"/>
    <w:rsid w:val="00444503"/>
    <w:rsid w:val="00457A4A"/>
    <w:rsid w:val="00476843"/>
    <w:rsid w:val="004B72B7"/>
    <w:rsid w:val="00521151"/>
    <w:rsid w:val="00522CBE"/>
    <w:rsid w:val="00530440"/>
    <w:rsid w:val="00551C35"/>
    <w:rsid w:val="00570D15"/>
    <w:rsid w:val="00585239"/>
    <w:rsid w:val="0061146C"/>
    <w:rsid w:val="006609E3"/>
    <w:rsid w:val="00665E0B"/>
    <w:rsid w:val="006703DD"/>
    <w:rsid w:val="006A30A1"/>
    <w:rsid w:val="006E14D3"/>
    <w:rsid w:val="006F1F89"/>
    <w:rsid w:val="00764B7D"/>
    <w:rsid w:val="007B15B4"/>
    <w:rsid w:val="007B2685"/>
    <w:rsid w:val="007F3D52"/>
    <w:rsid w:val="007F4B0F"/>
    <w:rsid w:val="0080046A"/>
    <w:rsid w:val="0080205A"/>
    <w:rsid w:val="008166B8"/>
    <w:rsid w:val="00817B9C"/>
    <w:rsid w:val="00880DCC"/>
    <w:rsid w:val="008876D8"/>
    <w:rsid w:val="008E61F3"/>
    <w:rsid w:val="008F4CEC"/>
    <w:rsid w:val="009D0113"/>
    <w:rsid w:val="009F3B67"/>
    <w:rsid w:val="00A32E9C"/>
    <w:rsid w:val="00A72713"/>
    <w:rsid w:val="00A74766"/>
    <w:rsid w:val="00AB5992"/>
    <w:rsid w:val="00AC07C1"/>
    <w:rsid w:val="00AE36DD"/>
    <w:rsid w:val="00AE7A4C"/>
    <w:rsid w:val="00B01099"/>
    <w:rsid w:val="00B20D54"/>
    <w:rsid w:val="00B52BE9"/>
    <w:rsid w:val="00B61571"/>
    <w:rsid w:val="00B70AD6"/>
    <w:rsid w:val="00B85E02"/>
    <w:rsid w:val="00BD1144"/>
    <w:rsid w:val="00CA5BA2"/>
    <w:rsid w:val="00D75E64"/>
    <w:rsid w:val="00D9341A"/>
    <w:rsid w:val="00DA1B33"/>
    <w:rsid w:val="00DE11BA"/>
    <w:rsid w:val="00DE434F"/>
    <w:rsid w:val="00E013FC"/>
    <w:rsid w:val="00E174F8"/>
    <w:rsid w:val="00E5544D"/>
    <w:rsid w:val="00F144CC"/>
    <w:rsid w:val="00F177BA"/>
    <w:rsid w:val="00F5254A"/>
    <w:rsid w:val="00F96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A26213"/>
  <w15:chartTrackingRefBased/>
  <w15:docId w15:val="{C3F5B179-8F1A-40B3-BD11-735FA4A8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67B0A"/>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530440"/>
    <w:pPr>
      <w:ind w:left="720"/>
      <w:contextualSpacing/>
    </w:pPr>
  </w:style>
  <w:style w:type="paragraph" w:styleId="Corpodetexto">
    <w:name w:val="Body Text"/>
    <w:basedOn w:val="Normal"/>
    <w:link w:val="CorpodetextoChar"/>
    <w:rsid w:val="00530440"/>
    <w:pPr>
      <w:suppressAutoHyphens/>
      <w:spacing w:after="0" w:line="240" w:lineRule="auto"/>
      <w:jc w:val="both"/>
    </w:pPr>
    <w:rPr>
      <w:rFonts w:ascii="Book Antiqua" w:eastAsia="Times New Roman" w:hAnsi="Book Antiqua" w:cs="Times New Roman"/>
      <w:sz w:val="24"/>
      <w:szCs w:val="20"/>
      <w:lang w:eastAsia="pt-BR"/>
    </w:rPr>
  </w:style>
  <w:style w:type="character" w:customStyle="1" w:styleId="CorpodetextoChar">
    <w:name w:val="Corpo de texto Char"/>
    <w:basedOn w:val="Fontepargpadro"/>
    <w:link w:val="Corpodetexto"/>
    <w:rsid w:val="00530440"/>
    <w:rPr>
      <w:rFonts w:ascii="Book Antiqua" w:eastAsia="Times New Roman" w:hAnsi="Book Antiqua" w:cs="Times New Roman"/>
      <w:sz w:val="24"/>
      <w:szCs w:val="20"/>
      <w:lang w:eastAsia="pt-BR"/>
    </w:rPr>
  </w:style>
  <w:style w:type="paragraph" w:styleId="Cabealho">
    <w:name w:val="header"/>
    <w:basedOn w:val="Normal"/>
    <w:link w:val="CabealhoChar"/>
    <w:uiPriority w:val="99"/>
    <w:unhideWhenUsed/>
    <w:rsid w:val="00530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440"/>
  </w:style>
  <w:style w:type="paragraph" w:styleId="Rodap">
    <w:name w:val="footer"/>
    <w:basedOn w:val="Normal"/>
    <w:link w:val="RodapChar"/>
    <w:uiPriority w:val="99"/>
    <w:unhideWhenUsed/>
    <w:rsid w:val="00530440"/>
    <w:pPr>
      <w:tabs>
        <w:tab w:val="center" w:pos="4252"/>
        <w:tab w:val="right" w:pos="8504"/>
      </w:tabs>
      <w:spacing w:after="0" w:line="240" w:lineRule="auto"/>
    </w:pPr>
  </w:style>
  <w:style w:type="character" w:customStyle="1" w:styleId="RodapChar">
    <w:name w:val="Rodapé Char"/>
    <w:basedOn w:val="Fontepargpadro"/>
    <w:link w:val="Rodap"/>
    <w:uiPriority w:val="99"/>
    <w:rsid w:val="00530440"/>
  </w:style>
  <w:style w:type="paragraph" w:styleId="Textodebalo">
    <w:name w:val="Balloon Text"/>
    <w:basedOn w:val="Normal"/>
    <w:link w:val="TextodebaloChar"/>
    <w:uiPriority w:val="99"/>
    <w:semiHidden/>
    <w:unhideWhenUsed/>
    <w:rsid w:val="008166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6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370009">
      <w:bodyDiv w:val="1"/>
      <w:marLeft w:val="0"/>
      <w:marRight w:val="0"/>
      <w:marTop w:val="0"/>
      <w:marBottom w:val="0"/>
      <w:divBdr>
        <w:top w:val="none" w:sz="0" w:space="0" w:color="auto"/>
        <w:left w:val="none" w:sz="0" w:space="0" w:color="auto"/>
        <w:bottom w:val="none" w:sz="0" w:space="0" w:color="auto"/>
        <w:right w:val="none" w:sz="0" w:space="0" w:color="auto"/>
      </w:divBdr>
    </w:div>
    <w:div w:id="1145774466">
      <w:bodyDiv w:val="1"/>
      <w:marLeft w:val="0"/>
      <w:marRight w:val="0"/>
      <w:marTop w:val="0"/>
      <w:marBottom w:val="0"/>
      <w:divBdr>
        <w:top w:val="none" w:sz="0" w:space="0" w:color="auto"/>
        <w:left w:val="none" w:sz="0" w:space="0" w:color="auto"/>
        <w:bottom w:val="none" w:sz="0" w:space="0" w:color="auto"/>
        <w:right w:val="none" w:sz="0" w:space="0" w:color="auto"/>
      </w:divBdr>
      <w:divsChild>
        <w:div w:id="1629240875">
          <w:marLeft w:val="0"/>
          <w:marRight w:val="0"/>
          <w:marTop w:val="0"/>
          <w:marBottom w:val="0"/>
          <w:divBdr>
            <w:top w:val="none" w:sz="0" w:space="0" w:color="auto"/>
            <w:left w:val="none" w:sz="0" w:space="0" w:color="auto"/>
            <w:bottom w:val="none" w:sz="0" w:space="0" w:color="auto"/>
            <w:right w:val="none" w:sz="0" w:space="0" w:color="auto"/>
          </w:divBdr>
        </w:div>
        <w:div w:id="188027279">
          <w:marLeft w:val="0"/>
          <w:marRight w:val="0"/>
          <w:marTop w:val="0"/>
          <w:marBottom w:val="0"/>
          <w:divBdr>
            <w:top w:val="none" w:sz="0" w:space="0" w:color="auto"/>
            <w:left w:val="none" w:sz="0" w:space="0" w:color="auto"/>
            <w:bottom w:val="none" w:sz="0" w:space="0" w:color="auto"/>
            <w:right w:val="none" w:sz="0" w:space="0" w:color="auto"/>
          </w:divBdr>
        </w:div>
        <w:div w:id="798840061">
          <w:marLeft w:val="0"/>
          <w:marRight w:val="0"/>
          <w:marTop w:val="0"/>
          <w:marBottom w:val="0"/>
          <w:divBdr>
            <w:top w:val="none" w:sz="0" w:space="0" w:color="auto"/>
            <w:left w:val="none" w:sz="0" w:space="0" w:color="auto"/>
            <w:bottom w:val="none" w:sz="0" w:space="0" w:color="auto"/>
            <w:right w:val="none" w:sz="0" w:space="0" w:color="auto"/>
          </w:divBdr>
        </w:div>
        <w:div w:id="18567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10</Pages>
  <Words>4912</Words>
  <Characters>26530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Edmilson Diamantino</cp:lastModifiedBy>
  <cp:revision>19</cp:revision>
  <cp:lastPrinted>2019-12-20T16:36:00Z</cp:lastPrinted>
  <dcterms:created xsi:type="dcterms:W3CDTF">2019-12-17T14:53:00Z</dcterms:created>
  <dcterms:modified xsi:type="dcterms:W3CDTF">2020-01-16T20:26:00Z</dcterms:modified>
</cp:coreProperties>
</file>